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FEEE29" w14:textId="5DF4A623" w:rsidR="36EED534" w:rsidRDefault="00744DFE" w:rsidP="36EED534">
      <w:pPr>
        <w:rPr>
          <w:rFonts w:ascii="Calibri" w:eastAsia="Calibri" w:hAnsi="Calibri" w:cs="Calibri"/>
          <w:color w:val="000000" w:themeColor="text1"/>
          <w:sz w:val="28"/>
          <w:szCs w:val="28"/>
          <w:lang w:val="en-GB"/>
        </w:rPr>
      </w:pPr>
      <w:r>
        <w:fldChar w:fldCharType="begin"/>
      </w:r>
      <w:r>
        <w:instrText xml:space="preserve"> HYPERLINK "https://ec.europa.eu/info/funding-tenders/opportunities/portal/screen/opportunities/topic-details/horizon-cl5-2022-d2-01-11;callCode=null;freeTextSearchKeyword=;matchWholeText=true;typeCodes=1,2,8;statusCodes=31094501,31094502;programmePeriod=n</w:instrText>
      </w:r>
      <w:r>
        <w:instrText>ull;programCcm2Id=43108390;programDivisionCode=43108557,43118846,43118971,43120193,43120821,43121563,43121666,43121692,43121702,43121707,43121757;focusAreaCode=null;destination=null;mission=null;geographicalZonesCode=null;programmeDivisionProspect=null;sta</w:instrText>
      </w:r>
      <w:r>
        <w:instrText xml:space="preserve">rtDateLte=null;startDateGte=null;crossCuttingPriorityCode=null;cpvCode=null;performanceOfDelivery=null;sortQuery=deadlineDate;orderBy=asc;onlyTenders=false;topicListKey=topicSearchTablePageState" \h </w:instrText>
      </w:r>
      <w:r>
        <w:fldChar w:fldCharType="separate"/>
      </w:r>
      <w:r w:rsidR="36EED534" w:rsidRPr="36EED534">
        <w:rPr>
          <w:rStyle w:val="Lienhypertexte"/>
          <w:rFonts w:ascii="Calibri" w:eastAsia="Calibri" w:hAnsi="Calibri" w:cs="Calibri"/>
          <w:b/>
          <w:bCs/>
          <w:sz w:val="24"/>
          <w:szCs w:val="24"/>
          <w:highlight w:val="green"/>
          <w:lang w:val="en-GB"/>
        </w:rPr>
        <w:t>CIVITAS 2030 – Coordination and support for EU funded urban mobility innovation</w:t>
      </w:r>
      <w:r>
        <w:rPr>
          <w:rStyle w:val="Lienhypertexte"/>
          <w:rFonts w:ascii="Calibri" w:eastAsia="Calibri" w:hAnsi="Calibri" w:cs="Calibri"/>
          <w:b/>
          <w:bCs/>
          <w:sz w:val="24"/>
          <w:szCs w:val="24"/>
          <w:highlight w:val="green"/>
          <w:lang w:val="en-GB"/>
        </w:rPr>
        <w:fldChar w:fldCharType="end"/>
      </w:r>
    </w:p>
    <w:p w14:paraId="1C781A73" w14:textId="11A44421" w:rsidR="36EED534" w:rsidRDefault="36EED534" w:rsidP="36EED534">
      <w:pPr>
        <w:rPr>
          <w:rFonts w:ascii="Calibri" w:eastAsia="Calibri" w:hAnsi="Calibri" w:cs="Calibri"/>
          <w:color w:val="000000" w:themeColor="text1"/>
          <w:lang w:val="en-GB"/>
        </w:rPr>
      </w:pPr>
      <w:r w:rsidRPr="36EED534">
        <w:rPr>
          <w:rFonts w:ascii="Calibri" w:eastAsia="Calibri" w:hAnsi="Calibri" w:cs="Calibri"/>
          <w:b/>
          <w:bCs/>
          <w:color w:val="000000" w:themeColor="text1"/>
          <w:lang w:val="en-GB"/>
        </w:rPr>
        <w:t>HORIZON-CL5-2022-D2-01-11</w:t>
      </w:r>
    </w:p>
    <w:p w14:paraId="79490BF0" w14:textId="2B773597" w:rsidR="36EED534" w:rsidRDefault="36EED534" w:rsidP="36EED534">
      <w:pPr>
        <w:rPr>
          <w:rFonts w:ascii="Calibri" w:eastAsia="Calibri" w:hAnsi="Calibri" w:cs="Calibri"/>
          <w:b/>
          <w:bCs/>
          <w:color w:val="FF0000"/>
          <w:lang w:val="en-GB"/>
        </w:rPr>
      </w:pPr>
      <w:r w:rsidRPr="36EED534">
        <w:rPr>
          <w:rFonts w:ascii="Calibri" w:eastAsia="Calibri" w:hAnsi="Calibri" w:cs="Calibri"/>
          <w:color w:val="FF0000"/>
          <w:lang w:val="en-GB"/>
        </w:rPr>
        <w:t>O: 28 APRIL 2022</w:t>
      </w:r>
      <w:r>
        <w:tab/>
      </w:r>
      <w:r>
        <w:tab/>
      </w:r>
      <w:r w:rsidRPr="36EED534">
        <w:rPr>
          <w:rFonts w:ascii="Calibri" w:eastAsia="Calibri" w:hAnsi="Calibri" w:cs="Calibri"/>
          <w:b/>
          <w:bCs/>
          <w:color w:val="FF0000"/>
          <w:lang w:val="en-GB"/>
        </w:rPr>
        <w:t>D: 6 SEPTEMBER 2022</w:t>
      </w:r>
    </w:p>
    <w:p w14:paraId="79CCA251" w14:textId="2CE74853" w:rsidR="36EED534" w:rsidRDefault="36EED534" w:rsidP="36EED534">
      <w:pPr>
        <w:spacing w:after="20"/>
        <w:rPr>
          <w:rFonts w:ascii="Calibri" w:eastAsia="Calibri" w:hAnsi="Calibri" w:cs="Calibri"/>
          <w:color w:val="000000" w:themeColor="text1"/>
          <w:sz w:val="21"/>
          <w:szCs w:val="21"/>
          <w:lang w:val="en-GB"/>
        </w:rPr>
      </w:pPr>
      <w:r w:rsidRPr="36EED534">
        <w:rPr>
          <w:rFonts w:ascii="Calibri" w:eastAsia="Calibri" w:hAnsi="Calibri" w:cs="Calibri"/>
          <w:color w:val="000000" w:themeColor="text1"/>
          <w:sz w:val="20"/>
          <w:szCs w:val="20"/>
          <w:lang w:val="en-GB"/>
        </w:rPr>
        <w:t xml:space="preserve"> </w:t>
      </w:r>
      <w:r w:rsidRPr="36EED534">
        <w:rPr>
          <w:rFonts w:ascii="Calibri" w:eastAsia="Calibri" w:hAnsi="Calibri" w:cs="Calibri"/>
          <w:b/>
          <w:bCs/>
          <w:color w:val="000000" w:themeColor="text1"/>
          <w:sz w:val="21"/>
          <w:szCs w:val="21"/>
          <w:lang w:val="en-GB"/>
        </w:rPr>
        <w:t>Type of Action:</w:t>
      </w:r>
      <w:r>
        <w:tab/>
      </w:r>
      <w:r>
        <w:tab/>
      </w:r>
      <w:r>
        <w:tab/>
      </w:r>
      <w:r>
        <w:tab/>
      </w:r>
      <w:r w:rsidRPr="36EED534">
        <w:rPr>
          <w:rFonts w:ascii="Calibri" w:eastAsia="Calibri" w:hAnsi="Calibri" w:cs="Calibri"/>
          <w:b/>
          <w:bCs/>
          <w:color w:val="000000" w:themeColor="text1"/>
          <w:sz w:val="21"/>
          <w:szCs w:val="21"/>
          <w:lang w:val="en-GB"/>
        </w:rPr>
        <w:t>CSA</w:t>
      </w:r>
    </w:p>
    <w:p w14:paraId="1151A28E" w14:textId="4D5F44CB" w:rsidR="36EED534" w:rsidRDefault="36EED534" w:rsidP="36EED534">
      <w:pPr>
        <w:spacing w:after="20"/>
        <w:rPr>
          <w:rFonts w:ascii="Calibri" w:eastAsia="Calibri" w:hAnsi="Calibri" w:cs="Calibri"/>
          <w:color w:val="000000" w:themeColor="text1"/>
          <w:sz w:val="21"/>
          <w:szCs w:val="21"/>
          <w:lang w:val="en-GB"/>
        </w:rPr>
      </w:pPr>
      <w:r w:rsidRPr="36EED534">
        <w:rPr>
          <w:rFonts w:ascii="Calibri" w:eastAsia="Calibri" w:hAnsi="Calibri" w:cs="Calibri"/>
          <w:b/>
          <w:bCs/>
          <w:color w:val="000000" w:themeColor="text1"/>
          <w:sz w:val="21"/>
          <w:szCs w:val="21"/>
          <w:lang w:val="en-GB"/>
        </w:rPr>
        <w:t>Overall budget:</w:t>
      </w:r>
      <w:r>
        <w:tab/>
      </w:r>
      <w:r>
        <w:tab/>
      </w:r>
      <w:r>
        <w:tab/>
      </w:r>
      <w:r>
        <w:tab/>
      </w:r>
      <w:proofErr w:type="gramStart"/>
      <w:r w:rsidRPr="36EED534">
        <w:rPr>
          <w:rFonts w:ascii="Calibri" w:eastAsia="Calibri" w:hAnsi="Calibri" w:cs="Calibri"/>
          <w:b/>
          <w:bCs/>
          <w:color w:val="000000" w:themeColor="text1"/>
          <w:sz w:val="21"/>
          <w:szCs w:val="21"/>
          <w:lang w:val="en-GB"/>
        </w:rPr>
        <w:t>5 mil</w:t>
      </w:r>
      <w:proofErr w:type="gramEnd"/>
      <w:r w:rsidRPr="36EED534">
        <w:rPr>
          <w:rFonts w:ascii="Calibri" w:eastAsia="Calibri" w:hAnsi="Calibri" w:cs="Calibri"/>
          <w:b/>
          <w:bCs/>
          <w:color w:val="000000" w:themeColor="text1"/>
          <w:sz w:val="21"/>
          <w:szCs w:val="21"/>
          <w:lang w:val="en-GB"/>
        </w:rPr>
        <w:t>. €</w:t>
      </w:r>
    </w:p>
    <w:p w14:paraId="63A68D8F" w14:textId="3D0069A8" w:rsidR="36EED534" w:rsidRDefault="36EED534" w:rsidP="36EED534">
      <w:pPr>
        <w:spacing w:after="20"/>
        <w:rPr>
          <w:rFonts w:ascii="Calibri" w:eastAsia="Calibri" w:hAnsi="Calibri" w:cs="Calibri"/>
          <w:color w:val="000000" w:themeColor="text1"/>
          <w:sz w:val="21"/>
          <w:szCs w:val="21"/>
          <w:lang w:val="en-GB"/>
        </w:rPr>
      </w:pPr>
      <w:r w:rsidRPr="36EED534">
        <w:rPr>
          <w:rFonts w:ascii="Calibri" w:eastAsia="Calibri" w:hAnsi="Calibri" w:cs="Calibri"/>
          <w:b/>
          <w:bCs/>
          <w:color w:val="000000" w:themeColor="text1"/>
          <w:sz w:val="21"/>
          <w:szCs w:val="21"/>
          <w:lang w:val="en-GB"/>
        </w:rPr>
        <w:t>Budget per project:</w:t>
      </w:r>
      <w:r>
        <w:tab/>
      </w:r>
      <w:r>
        <w:tab/>
      </w:r>
      <w:r>
        <w:tab/>
      </w:r>
      <w:r w:rsidRPr="36EED534">
        <w:rPr>
          <w:rFonts w:ascii="Calibri" w:eastAsia="Calibri" w:hAnsi="Calibri" w:cs="Calibri"/>
          <w:b/>
          <w:bCs/>
          <w:color w:val="000000" w:themeColor="text1"/>
          <w:sz w:val="21"/>
          <w:szCs w:val="21"/>
          <w:lang w:val="en-GB"/>
        </w:rPr>
        <w:t xml:space="preserve">4-5 </w:t>
      </w:r>
      <w:proofErr w:type="gramStart"/>
      <w:r w:rsidRPr="36EED534">
        <w:rPr>
          <w:rFonts w:ascii="Calibri" w:eastAsia="Calibri" w:hAnsi="Calibri" w:cs="Calibri"/>
          <w:b/>
          <w:bCs/>
          <w:color w:val="000000" w:themeColor="text1"/>
          <w:sz w:val="21"/>
          <w:szCs w:val="21"/>
          <w:lang w:val="en-GB"/>
        </w:rPr>
        <w:t>mil</w:t>
      </w:r>
      <w:proofErr w:type="gramEnd"/>
      <w:r w:rsidRPr="36EED534">
        <w:rPr>
          <w:rFonts w:ascii="Calibri" w:eastAsia="Calibri" w:hAnsi="Calibri" w:cs="Calibri"/>
          <w:b/>
          <w:bCs/>
          <w:color w:val="000000" w:themeColor="text1"/>
          <w:sz w:val="21"/>
          <w:szCs w:val="21"/>
          <w:lang w:val="en-GB"/>
        </w:rPr>
        <w:t>. €</w:t>
      </w:r>
    </w:p>
    <w:p w14:paraId="52D99525" w14:textId="4F708EA2" w:rsidR="36EED534" w:rsidRDefault="36EED534" w:rsidP="36EED534">
      <w:pPr>
        <w:spacing w:after="20"/>
        <w:rPr>
          <w:rFonts w:ascii="Calibri" w:eastAsia="Calibri" w:hAnsi="Calibri" w:cs="Calibri"/>
          <w:color w:val="000000" w:themeColor="text1"/>
          <w:sz w:val="21"/>
          <w:szCs w:val="21"/>
          <w:lang w:val="en-GB"/>
        </w:rPr>
      </w:pPr>
      <w:r w:rsidRPr="36EED534">
        <w:rPr>
          <w:rFonts w:ascii="Calibri" w:eastAsia="Calibri" w:hAnsi="Calibri" w:cs="Calibri"/>
          <w:b/>
          <w:bCs/>
          <w:color w:val="000000" w:themeColor="text1"/>
          <w:sz w:val="21"/>
          <w:szCs w:val="21"/>
          <w:lang w:val="en-GB"/>
        </w:rPr>
        <w:t>Number of projects to be funded:</w:t>
      </w:r>
      <w:r>
        <w:tab/>
      </w:r>
      <w:r w:rsidRPr="36EED534">
        <w:rPr>
          <w:rFonts w:ascii="Calibri" w:eastAsia="Calibri" w:hAnsi="Calibri" w:cs="Calibri"/>
          <w:b/>
          <w:bCs/>
          <w:color w:val="000000" w:themeColor="text1"/>
          <w:sz w:val="21"/>
          <w:szCs w:val="21"/>
          <w:lang w:val="en-GB"/>
        </w:rPr>
        <w:t>1</w:t>
      </w:r>
    </w:p>
    <w:p w14:paraId="563E2349" w14:textId="09C2C271" w:rsidR="36EED534" w:rsidRDefault="36EED534" w:rsidP="36EED534">
      <w:pPr>
        <w:rPr>
          <w:rFonts w:ascii="Calibri" w:eastAsia="Calibri" w:hAnsi="Calibri" w:cs="Calibri"/>
          <w:color w:val="000000" w:themeColor="text1"/>
          <w:lang w:val="en-GB"/>
        </w:rPr>
      </w:pPr>
      <w:r w:rsidRPr="36EED534">
        <w:rPr>
          <w:rFonts w:ascii="Calibri" w:eastAsia="Calibri" w:hAnsi="Calibri" w:cs="Calibri"/>
          <w:b/>
          <w:bCs/>
          <w:color w:val="000000" w:themeColor="text1"/>
          <w:lang w:val="en-GB"/>
        </w:rPr>
        <w:t>TRL:</w:t>
      </w:r>
      <w:r>
        <w:tab/>
      </w:r>
      <w:r>
        <w:tab/>
      </w:r>
      <w:r>
        <w:tab/>
      </w:r>
      <w:r>
        <w:tab/>
      </w:r>
      <w:r>
        <w:tab/>
      </w:r>
      <w:r w:rsidRPr="36EED534">
        <w:rPr>
          <w:rFonts w:ascii="Calibri" w:eastAsia="Calibri" w:hAnsi="Calibri" w:cs="Calibri"/>
          <w:b/>
          <w:bCs/>
          <w:color w:val="000000" w:themeColor="text1"/>
          <w:lang w:val="en-GB"/>
        </w:rPr>
        <w:t>-</w:t>
      </w:r>
    </w:p>
    <w:p w14:paraId="1F268AFA" w14:textId="6901EDD7" w:rsidR="36EED534" w:rsidRDefault="36EED534" w:rsidP="36EED534">
      <w:pPr>
        <w:jc w:val="both"/>
        <w:rPr>
          <w:rFonts w:ascii="Calibri" w:eastAsia="Calibri" w:hAnsi="Calibri" w:cs="Calibri"/>
          <w:color w:val="000000" w:themeColor="text1"/>
          <w:sz w:val="21"/>
          <w:szCs w:val="21"/>
          <w:lang w:val="en-GB"/>
        </w:rPr>
      </w:pPr>
      <w:proofErr w:type="spellStart"/>
      <w:r w:rsidRPr="36EED534">
        <w:rPr>
          <w:rFonts w:ascii="Calibri" w:eastAsia="Calibri" w:hAnsi="Calibri" w:cs="Calibri"/>
          <w:b/>
          <w:bCs/>
          <w:color w:val="000000" w:themeColor="text1"/>
          <w:sz w:val="21"/>
          <w:szCs w:val="21"/>
          <w:lang w:val="en-GB"/>
        </w:rPr>
        <w:t>ExpectedOutcome</w:t>
      </w:r>
      <w:proofErr w:type="spellEnd"/>
      <w:r w:rsidRPr="36EED534">
        <w:rPr>
          <w:rFonts w:ascii="Calibri" w:eastAsia="Calibri" w:hAnsi="Calibri" w:cs="Calibri"/>
          <w:b/>
          <w:bCs/>
          <w:color w:val="000000" w:themeColor="text1"/>
          <w:sz w:val="21"/>
          <w:szCs w:val="21"/>
          <w:lang w:val="en-GB"/>
        </w:rPr>
        <w:t>:</w:t>
      </w:r>
    </w:p>
    <w:p w14:paraId="28D7DD8E" w14:textId="36D3B7CD" w:rsidR="36EED534" w:rsidRDefault="36EED534" w:rsidP="36EED534">
      <w:pPr>
        <w:jc w:val="both"/>
        <w:rPr>
          <w:rFonts w:ascii="Calibri" w:eastAsia="Calibri" w:hAnsi="Calibri" w:cs="Calibri"/>
          <w:color w:val="000000" w:themeColor="text1"/>
          <w:sz w:val="21"/>
          <w:szCs w:val="21"/>
          <w:lang w:val="en-GB"/>
        </w:rPr>
      </w:pPr>
      <w:r w:rsidRPr="36EED534">
        <w:rPr>
          <w:rFonts w:ascii="Calibri" w:eastAsia="Calibri" w:hAnsi="Calibri" w:cs="Calibri"/>
          <w:color w:val="000000" w:themeColor="text1"/>
          <w:sz w:val="21"/>
          <w:szCs w:val="21"/>
          <w:lang w:val="en-GB"/>
        </w:rPr>
        <w:t>Projects are expected to contribute to all of the following outcomes:</w:t>
      </w:r>
    </w:p>
    <w:p w14:paraId="6D83E6F9" w14:textId="279B7015" w:rsidR="36EED534" w:rsidRDefault="36EED534" w:rsidP="36EED534">
      <w:pPr>
        <w:pStyle w:val="Paragraphedeliste"/>
        <w:numPr>
          <w:ilvl w:val="0"/>
          <w:numId w:val="1"/>
        </w:numPr>
        <w:jc w:val="both"/>
        <w:rPr>
          <w:rFonts w:eastAsiaTheme="minorEastAsia"/>
          <w:color w:val="000000" w:themeColor="text1"/>
          <w:sz w:val="21"/>
          <w:szCs w:val="21"/>
          <w:lang w:val="en-GB"/>
        </w:rPr>
      </w:pPr>
      <w:r w:rsidRPr="36EED534">
        <w:rPr>
          <w:rFonts w:ascii="Calibri" w:eastAsia="Calibri" w:hAnsi="Calibri" w:cs="Calibri"/>
          <w:b/>
          <w:bCs/>
          <w:color w:val="000000" w:themeColor="text1"/>
          <w:sz w:val="21"/>
          <w:szCs w:val="21"/>
          <w:lang w:val="en-GB"/>
        </w:rPr>
        <w:t>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w:t>
      </w:r>
      <w:r w:rsidRPr="36EED534">
        <w:rPr>
          <w:rFonts w:ascii="Calibri" w:eastAsia="Calibri" w:hAnsi="Calibri" w:cs="Calibri"/>
          <w:color w:val="000000" w:themeColor="text1"/>
          <w:sz w:val="21"/>
          <w:szCs w:val="21"/>
          <w:lang w:val="en-GB"/>
        </w:rPr>
        <w:t xml:space="preserve"> </w:t>
      </w:r>
    </w:p>
    <w:p w14:paraId="194AD8BA" w14:textId="2BD69428"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ascii="Calibri" w:eastAsia="Calibri" w:hAnsi="Calibri" w:cs="Calibri"/>
          <w:color w:val="000000" w:themeColor="text1"/>
          <w:sz w:val="21"/>
          <w:szCs w:val="21"/>
          <w:lang w:val="en-GB"/>
        </w:rPr>
        <w:t>Develop, and put in place a communication, dissemination and promotion strategy that will clearly distinguish the identity of the CIVITAS initiative amongst other European city initiatives.</w:t>
      </w:r>
    </w:p>
    <w:p w14:paraId="57D18B46" w14:textId="1D2F0D11"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ascii="Calibri" w:eastAsia="Calibri" w:hAnsi="Calibri" w:cs="Calibri"/>
          <w:color w:val="000000" w:themeColor="text1"/>
          <w:sz w:val="21"/>
          <w:szCs w:val="21"/>
          <w:lang w:val="en-GB"/>
        </w:rPr>
        <w:t>Provide a common communication and dissemination framework for CIVITAS urban mobility projects and their living labs, but also other projects that express interest in receiving CIVITAS support (referred to from now on as ‘the projects’), including providing a common corporate identity and producing a monthly newsletter that includes project results as well as wider developments in the field of sustainable urban mobility.</w:t>
      </w:r>
    </w:p>
    <w:p w14:paraId="62F09814" w14:textId="5E47F466"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ascii="Calibri" w:eastAsia="Calibri" w:hAnsi="Calibri" w:cs="Calibri"/>
          <w:color w:val="000000" w:themeColor="text1"/>
          <w:sz w:val="21"/>
          <w:szCs w:val="21"/>
          <w:lang w:val="en-GB"/>
        </w:rPr>
        <w:t>Provide a common realistic and user-friendly evaluation framework with dedicated support for its implementation.</w:t>
      </w:r>
    </w:p>
    <w:p w14:paraId="571758C8" w14:textId="04E39452"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ascii="Calibri" w:eastAsia="Calibri" w:hAnsi="Calibri" w:cs="Calibri"/>
          <w:color w:val="000000" w:themeColor="text1"/>
          <w:sz w:val="21"/>
          <w:szCs w:val="21"/>
          <w:lang w:val="en-GB"/>
        </w:rPr>
        <w:t>Reach out to national transport press correspondents and relevant European media, the Horizon project community and a wider European and international audience of cities and professionals with the aim of increasing the visibility of the network and urban mobility projects.</w:t>
      </w:r>
    </w:p>
    <w:p w14:paraId="0F8ADCD6" w14:textId="3C196544" w:rsidR="36EED534" w:rsidRDefault="36EED534" w:rsidP="36EED534">
      <w:pPr>
        <w:pStyle w:val="Paragraphedeliste"/>
        <w:numPr>
          <w:ilvl w:val="0"/>
          <w:numId w:val="1"/>
        </w:numPr>
        <w:jc w:val="both"/>
        <w:rPr>
          <w:rFonts w:eastAsiaTheme="minorEastAsia"/>
          <w:color w:val="000000" w:themeColor="text1"/>
          <w:sz w:val="21"/>
          <w:szCs w:val="21"/>
          <w:lang w:val="en-GB"/>
        </w:rPr>
      </w:pPr>
      <w:r w:rsidRPr="36EED534">
        <w:rPr>
          <w:rFonts w:ascii="Calibri" w:eastAsia="Calibri" w:hAnsi="Calibri" w:cs="Calibri"/>
          <w:b/>
          <w:bCs/>
          <w:color w:val="000000" w:themeColor="text1"/>
          <w:sz w:val="21"/>
          <w:szCs w:val="21"/>
          <w:lang w:val="en-GB"/>
        </w:rPr>
        <w:t>Monitor results and implementation activities in the projects and provide the European Commi</w:t>
      </w:r>
      <w:r w:rsidRPr="36EED534">
        <w:rPr>
          <w:rFonts w:eastAsiaTheme="minorEastAsia"/>
          <w:b/>
          <w:bCs/>
          <w:color w:val="000000" w:themeColor="text1"/>
          <w:sz w:val="21"/>
          <w:szCs w:val="21"/>
          <w:lang w:val="en-GB"/>
        </w:rPr>
        <w:t xml:space="preserve">ssion with a bi-annual report. </w:t>
      </w:r>
    </w:p>
    <w:p w14:paraId="650AF204" w14:textId="3BBD1426"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Facilitating exchanges among the projects and the European Commission with the aim of disseminating project key milestones and results.</w:t>
      </w:r>
    </w:p>
    <w:p w14:paraId="613F8573" w14:textId="40E520CA"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Organising capacity building, replication and twinning sessions and three site visits per year, based on latest results and best practices from the projects, to support the take up of innovative urban mobility solutions.</w:t>
      </w:r>
    </w:p>
    <w:p w14:paraId="1CF8D651" w14:textId="7F8F5D93"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Organise a CIVITAS Forum once per year to share results and best practice from the projects.</w:t>
      </w:r>
    </w:p>
    <w:p w14:paraId="0FA4B7FA" w14:textId="57F96A47"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Collaborate on the organisation of the Urban Mobility Days (flagship conference on innovative, clean and integrated urban mobility</w:t>
      </w:r>
    </w:p>
    <w:p w14:paraId="4344D9A9" w14:textId="38566390"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Collaborate on the organisation of the Urban Mobility Days (flagship conference on innovative, clean and integrated urban mobility and transport).</w:t>
      </w:r>
    </w:p>
    <w:p w14:paraId="20E17DBC" w14:textId="6C4DE28D"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Disseminate project results as well as wider developments in the field of sustainable urban mobility, European media outlets, of cities and professionals.</w:t>
      </w:r>
    </w:p>
    <w:p w14:paraId="6F8C50C1" w14:textId="74B8CA24"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Assess the CIVITAS newsletter database and increase it by 20% every year.</w:t>
      </w:r>
    </w:p>
    <w:p w14:paraId="795466F5" w14:textId="49746745"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lastRenderedPageBreak/>
        <w:t>Offer the projects’ liaison activities, collaboration and synergy building with the different urban mobility communities and initiatives at European level, such as the ELTIS, EIP SCC, Driving Urban Transitions Partnership, EIT Urban Mobility and the Climate Neutral and Smart Cities Mission.</w:t>
      </w:r>
    </w:p>
    <w:p w14:paraId="4A9FC1D0" w14:textId="4D4F5A6C"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20% every year.</w:t>
      </w:r>
    </w:p>
    <w:p w14:paraId="1AD4A3A9" w14:textId="52DEC2AA"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Increase the CIVITAS twitter followers by 20% every year. Provide a strategy for social media engagement.</w:t>
      </w:r>
    </w:p>
    <w:p w14:paraId="1B4B675A" w14:textId="62FC4EAE"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In collaboration with European Commission services, prepare two policy papers per year on innovative solutions, good practices, and their replication, putting in place three ad-hoc Thematic Groups (based on the thematic areas of CIVITAS) to analyse developments and prepare recommendations.</w:t>
      </w:r>
    </w:p>
    <w:p w14:paraId="41D7F0B9" w14:textId="6E6F5F6C"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Organise minimum two meetings per year of the CIVITAS Policy Advisory Committee, with one policy paper issued per year, to facilitate a continued dialogue between mayors, businesses and civil society.</w:t>
      </w:r>
    </w:p>
    <w:p w14:paraId="14B6A6B8" w14:textId="140F7014"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 xml:space="preserve">Prepare policy recommendations and key </w:t>
      </w:r>
      <w:proofErr w:type="spellStart"/>
      <w:r w:rsidRPr="36EED534">
        <w:rPr>
          <w:rFonts w:eastAsiaTheme="minorEastAsia"/>
          <w:color w:val="000000" w:themeColor="text1"/>
          <w:sz w:val="21"/>
          <w:szCs w:val="21"/>
          <w:lang w:val="en-GB"/>
        </w:rPr>
        <w:t>learnings</w:t>
      </w:r>
      <w:proofErr w:type="spellEnd"/>
      <w:r w:rsidRPr="36EED534">
        <w:rPr>
          <w:rFonts w:eastAsiaTheme="minorEastAsia"/>
          <w:color w:val="000000" w:themeColor="text1"/>
          <w:sz w:val="21"/>
          <w:szCs w:val="21"/>
          <w:lang w:val="en-GB"/>
        </w:rPr>
        <w:t xml:space="preserve"> addressed to cities, Member States/Associated Countries and the European Commission based on latest technological and planning trends, research and innovation as well as results from ongoing projects.</w:t>
      </w:r>
    </w:p>
    <w:p w14:paraId="69762C0C" w14:textId="230DD2C6"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Updating, promoting and enlarging the CIVITAS cities network, with at least 20 new European cities added per year.</w:t>
      </w:r>
    </w:p>
    <w:p w14:paraId="02BB6FDA" w14:textId="5D6A9AAC" w:rsidR="36EED534" w:rsidRDefault="36EED534" w:rsidP="36EED534">
      <w:pPr>
        <w:pStyle w:val="Paragraphedeliste"/>
        <w:numPr>
          <w:ilvl w:val="1"/>
          <w:numId w:val="1"/>
        </w:numPr>
        <w:jc w:val="both"/>
        <w:rPr>
          <w:rFonts w:eastAsiaTheme="minorEastAsia"/>
          <w:color w:val="000000" w:themeColor="text1"/>
          <w:sz w:val="21"/>
          <w:szCs w:val="21"/>
          <w:lang w:val="en-GB"/>
        </w:rPr>
      </w:pPr>
      <w:r w:rsidRPr="36EED534">
        <w:rPr>
          <w:rFonts w:eastAsiaTheme="minorEastAsia"/>
          <w:color w:val="000000" w:themeColor="text1"/>
          <w:sz w:val="21"/>
          <w:szCs w:val="21"/>
          <w:lang w:val="en-GB"/>
        </w:rPr>
        <w:t>Providing support and funding to existing CIVINETS, maintaining the secretariat for the CIVITAS initiative, and actively engaging with local, regional or national stakeholders, aiming to overcome language and other barriers.</w:t>
      </w:r>
    </w:p>
    <w:p w14:paraId="4D92A04B" w14:textId="3DF0432B" w:rsidR="36EED534" w:rsidRDefault="36EED534" w:rsidP="36EED534">
      <w:pPr>
        <w:jc w:val="both"/>
        <w:rPr>
          <w:rFonts w:ascii="Calibri" w:eastAsia="Calibri" w:hAnsi="Calibri" w:cs="Calibri"/>
          <w:sz w:val="21"/>
          <w:szCs w:val="21"/>
          <w:lang w:val="en-GB"/>
        </w:rPr>
      </w:pPr>
      <w:r w:rsidRPr="36EED534">
        <w:rPr>
          <w:rFonts w:eastAsiaTheme="minorEastAsia"/>
          <w:b/>
          <w:bCs/>
          <w:color w:val="000000" w:themeColor="text1"/>
          <w:sz w:val="21"/>
          <w:szCs w:val="21"/>
          <w:u w:val="single"/>
          <w:lang w:val="en-GB"/>
        </w:rPr>
        <w:t xml:space="preserve">Eligible countries- </w:t>
      </w:r>
      <w:r w:rsidRPr="36EED534">
        <w:rPr>
          <w:rFonts w:ascii="Calibri" w:eastAsia="Calibri" w:hAnsi="Calibri" w:cs="Calibri"/>
          <w:sz w:val="21"/>
          <w:szCs w:val="21"/>
          <w:lang w:val="en-GB"/>
        </w:rPr>
        <w:t xml:space="preserve">To be eligible for funding, applicants must be established in one of the eligible countries, i.e.: </w:t>
      </w:r>
    </w:p>
    <w:p w14:paraId="2BF30EA3" w14:textId="1A5E8889" w:rsidR="36EED534" w:rsidRDefault="36EED534" w:rsidP="36EED534">
      <w:pPr>
        <w:jc w:val="both"/>
        <w:rPr>
          <w:rFonts w:ascii="Calibri" w:eastAsia="Calibri" w:hAnsi="Calibri" w:cs="Calibri"/>
          <w:sz w:val="21"/>
          <w:szCs w:val="21"/>
          <w:lang w:val="en-GB"/>
        </w:rPr>
      </w:pPr>
      <w:r w:rsidRPr="36EED534">
        <w:rPr>
          <w:rFonts w:ascii="Calibri" w:eastAsia="Calibri" w:hAnsi="Calibri" w:cs="Calibri"/>
          <w:sz w:val="21"/>
          <w:szCs w:val="21"/>
          <w:lang w:val="en-GB"/>
        </w:rPr>
        <w:t xml:space="preserve">– </w:t>
      </w:r>
      <w:proofErr w:type="gramStart"/>
      <w:r w:rsidRPr="36EED534">
        <w:rPr>
          <w:rFonts w:ascii="Calibri" w:eastAsia="Calibri" w:hAnsi="Calibri" w:cs="Calibri"/>
          <w:sz w:val="21"/>
          <w:szCs w:val="21"/>
          <w:lang w:val="en-GB"/>
        </w:rPr>
        <w:t>the</w:t>
      </w:r>
      <w:proofErr w:type="gramEnd"/>
      <w:r w:rsidRPr="36EED534">
        <w:rPr>
          <w:rFonts w:ascii="Calibri" w:eastAsia="Calibri" w:hAnsi="Calibri" w:cs="Calibri"/>
          <w:sz w:val="21"/>
          <w:szCs w:val="21"/>
          <w:lang w:val="en-GB"/>
        </w:rPr>
        <w:t xml:space="preserve"> Member States of the European Union, including their outermost regions;</w:t>
      </w:r>
    </w:p>
    <w:p w14:paraId="536D46FB" w14:textId="1BBFB877" w:rsidR="36EED534" w:rsidRDefault="36EED534" w:rsidP="36EED534">
      <w:pPr>
        <w:jc w:val="both"/>
        <w:rPr>
          <w:rFonts w:ascii="Calibri" w:eastAsia="Calibri" w:hAnsi="Calibri" w:cs="Calibri"/>
          <w:sz w:val="21"/>
          <w:szCs w:val="21"/>
          <w:lang w:val="en-GB"/>
        </w:rPr>
      </w:pPr>
      <w:r w:rsidRPr="36EED534">
        <w:rPr>
          <w:rFonts w:ascii="Calibri" w:eastAsia="Calibri" w:hAnsi="Calibri" w:cs="Calibri"/>
          <w:sz w:val="21"/>
          <w:szCs w:val="21"/>
          <w:lang w:val="en-GB"/>
        </w:rPr>
        <w:t xml:space="preserve">– </w:t>
      </w:r>
      <w:proofErr w:type="gramStart"/>
      <w:r w:rsidRPr="36EED534">
        <w:rPr>
          <w:rFonts w:ascii="Calibri" w:eastAsia="Calibri" w:hAnsi="Calibri" w:cs="Calibri"/>
          <w:sz w:val="21"/>
          <w:szCs w:val="21"/>
          <w:lang w:val="en-GB"/>
        </w:rPr>
        <w:t>the</w:t>
      </w:r>
      <w:proofErr w:type="gramEnd"/>
      <w:r w:rsidRPr="36EED534">
        <w:rPr>
          <w:rFonts w:ascii="Calibri" w:eastAsia="Calibri" w:hAnsi="Calibri" w:cs="Calibri"/>
          <w:sz w:val="21"/>
          <w:szCs w:val="21"/>
          <w:lang w:val="en-GB"/>
        </w:rPr>
        <w:t xml:space="preserve"> Overseas Countries and Territories (OCTs) linked to the Member States; </w:t>
      </w:r>
    </w:p>
    <w:p w14:paraId="6DDEEFF7" w14:textId="2BC63676" w:rsidR="36EED534" w:rsidRDefault="36EED534" w:rsidP="36EED534">
      <w:pPr>
        <w:jc w:val="both"/>
        <w:rPr>
          <w:rFonts w:ascii="Calibri" w:eastAsia="Calibri" w:hAnsi="Calibri" w:cs="Calibri"/>
          <w:sz w:val="21"/>
          <w:szCs w:val="21"/>
          <w:lang w:val="en-GB"/>
        </w:rPr>
      </w:pPr>
      <w:r w:rsidRPr="36EED534">
        <w:rPr>
          <w:rFonts w:ascii="Calibri" w:eastAsia="Calibri" w:hAnsi="Calibri" w:cs="Calibri"/>
          <w:sz w:val="21"/>
          <w:szCs w:val="21"/>
          <w:lang w:val="en-GB"/>
        </w:rPr>
        <w:t xml:space="preserve">– </w:t>
      </w:r>
      <w:proofErr w:type="gramStart"/>
      <w:r w:rsidRPr="36EED534">
        <w:rPr>
          <w:rFonts w:ascii="Calibri" w:eastAsia="Calibri" w:hAnsi="Calibri" w:cs="Calibri"/>
          <w:sz w:val="21"/>
          <w:szCs w:val="21"/>
          <w:lang w:val="en-GB"/>
        </w:rPr>
        <w:t>eligible</w:t>
      </w:r>
      <w:proofErr w:type="gramEnd"/>
      <w:r w:rsidRPr="36EED534">
        <w:rPr>
          <w:rFonts w:ascii="Calibri" w:eastAsia="Calibri" w:hAnsi="Calibri" w:cs="Calibri"/>
          <w:sz w:val="21"/>
          <w:szCs w:val="21"/>
          <w:lang w:val="en-GB"/>
        </w:rPr>
        <w:t xml:space="preserve"> non-EU countries: </w:t>
      </w:r>
    </w:p>
    <w:p w14:paraId="71E9E94B" w14:textId="1332B6C0" w:rsidR="36EED534" w:rsidRDefault="36EED534" w:rsidP="36EED534">
      <w:pPr>
        <w:jc w:val="both"/>
        <w:rPr>
          <w:rFonts w:ascii="Calibri" w:eastAsia="Calibri" w:hAnsi="Calibri" w:cs="Calibri"/>
          <w:sz w:val="21"/>
          <w:szCs w:val="21"/>
          <w:lang w:val="en-GB"/>
        </w:rPr>
      </w:pPr>
      <w:r w:rsidRPr="36EED534">
        <w:rPr>
          <w:rFonts w:ascii="Calibri" w:eastAsia="Calibri" w:hAnsi="Calibri" w:cs="Calibri"/>
          <w:sz w:val="21"/>
          <w:szCs w:val="21"/>
          <w:lang w:val="en-GB"/>
        </w:rPr>
        <w:t xml:space="preserve">– </w:t>
      </w:r>
      <w:proofErr w:type="gramStart"/>
      <w:r w:rsidRPr="36EED534">
        <w:rPr>
          <w:rFonts w:ascii="Calibri" w:eastAsia="Calibri" w:hAnsi="Calibri" w:cs="Calibri"/>
          <w:sz w:val="21"/>
          <w:szCs w:val="21"/>
          <w:lang w:val="en-GB"/>
        </w:rPr>
        <w:t>countries</w:t>
      </w:r>
      <w:proofErr w:type="gramEnd"/>
      <w:r w:rsidRPr="36EED534">
        <w:rPr>
          <w:rFonts w:ascii="Calibri" w:eastAsia="Calibri" w:hAnsi="Calibri" w:cs="Calibri"/>
          <w:sz w:val="21"/>
          <w:szCs w:val="21"/>
          <w:lang w:val="en-GB"/>
        </w:rPr>
        <w:t xml:space="preserve"> associated to Horizon Europe</w:t>
      </w:r>
    </w:p>
    <w:p w14:paraId="35E9012E" w14:textId="145075C9" w:rsidR="36EED534" w:rsidRDefault="36EED534" w:rsidP="36EED534">
      <w:pPr>
        <w:jc w:val="both"/>
        <w:rPr>
          <w:rFonts w:ascii="Calibri" w:eastAsia="Calibri" w:hAnsi="Calibri" w:cs="Calibri"/>
          <w:sz w:val="21"/>
          <w:szCs w:val="21"/>
          <w:lang w:val="en-GB"/>
        </w:rPr>
      </w:pPr>
      <w:r w:rsidRPr="36EED534">
        <w:rPr>
          <w:rFonts w:ascii="Calibri" w:eastAsia="Calibri" w:hAnsi="Calibri" w:cs="Calibri"/>
          <w:sz w:val="21"/>
          <w:szCs w:val="21"/>
          <w:lang w:val="en-GB"/>
        </w:rPr>
        <w:t xml:space="preserve">– </w:t>
      </w:r>
      <w:proofErr w:type="gramStart"/>
      <w:r w:rsidRPr="36EED534">
        <w:rPr>
          <w:rFonts w:ascii="Calibri" w:eastAsia="Calibri" w:hAnsi="Calibri" w:cs="Calibri"/>
          <w:sz w:val="21"/>
          <w:szCs w:val="21"/>
          <w:lang w:val="en-GB"/>
        </w:rPr>
        <w:t>low</w:t>
      </w:r>
      <w:proofErr w:type="gramEnd"/>
      <w:r w:rsidRPr="36EED534">
        <w:rPr>
          <w:rFonts w:ascii="Calibri" w:eastAsia="Calibri" w:hAnsi="Calibri" w:cs="Calibri"/>
          <w:sz w:val="21"/>
          <w:szCs w:val="21"/>
          <w:lang w:val="en-GB"/>
        </w:rPr>
        <w:t>- and middle-income countries</w:t>
      </w:r>
    </w:p>
    <w:p w14:paraId="3B307E64" w14:textId="1892C9D1" w:rsidR="36EED534" w:rsidRDefault="36EED534" w:rsidP="36EED534">
      <w:pPr>
        <w:jc w:val="both"/>
        <w:rPr>
          <w:rFonts w:ascii="Calibri" w:eastAsia="Calibri" w:hAnsi="Calibri" w:cs="Calibri"/>
          <w:sz w:val="21"/>
          <w:szCs w:val="21"/>
          <w:lang w:val="en-GB"/>
        </w:rPr>
      </w:pPr>
      <w:r w:rsidRPr="36EED534">
        <w:rPr>
          <w:rFonts w:ascii="Calibri" w:eastAsia="Calibri" w:hAnsi="Calibri" w:cs="Calibri"/>
          <w:b/>
          <w:bCs/>
          <w:sz w:val="21"/>
          <w:szCs w:val="21"/>
          <w:lang w:val="en-GB"/>
        </w:rPr>
        <w:t xml:space="preserve">Specific cases: </w:t>
      </w:r>
      <w:r w:rsidRPr="36EED534">
        <w:rPr>
          <w:rFonts w:ascii="Calibri" w:eastAsia="Calibri" w:hAnsi="Calibri" w:cs="Calibri"/>
          <w:sz w:val="21"/>
          <w:szCs w:val="21"/>
          <w:lang w:val="en-GB"/>
        </w:rPr>
        <w:t xml:space="preserve">Affiliated entities — </w:t>
      </w:r>
      <w:proofErr w:type="gramStart"/>
      <w:r w:rsidRPr="36EED534">
        <w:rPr>
          <w:rFonts w:ascii="Calibri" w:eastAsia="Calibri" w:hAnsi="Calibri" w:cs="Calibri"/>
          <w:sz w:val="21"/>
          <w:szCs w:val="21"/>
          <w:lang w:val="en-GB"/>
        </w:rPr>
        <w:t>Affiliated</w:t>
      </w:r>
      <w:proofErr w:type="gramEnd"/>
      <w:r w:rsidRPr="36EED534">
        <w:rPr>
          <w:rFonts w:ascii="Calibri" w:eastAsia="Calibri" w:hAnsi="Calibri" w:cs="Calibri"/>
          <w:sz w:val="21"/>
          <w:szCs w:val="21"/>
          <w:lang w:val="en-GB"/>
        </w:rPr>
        <w:t xml:space="preserve"> entities are eligible for funding if they are established in one of the countries listed above.</w:t>
      </w:r>
    </w:p>
    <w:p w14:paraId="10728877" w14:textId="600CB6DA" w:rsidR="36EED534" w:rsidRDefault="36EED534" w:rsidP="36EED534">
      <w:pPr>
        <w:jc w:val="both"/>
        <w:rPr>
          <w:rFonts w:ascii="Calibri" w:eastAsia="Calibri" w:hAnsi="Calibri" w:cs="Calibri"/>
          <w:sz w:val="21"/>
          <w:szCs w:val="21"/>
          <w:lang w:val="en-GB"/>
        </w:rPr>
      </w:pPr>
      <w:r w:rsidRPr="36EED534">
        <w:rPr>
          <w:rFonts w:ascii="Calibri" w:eastAsia="Calibri" w:hAnsi="Calibri" w:cs="Calibri"/>
          <w:b/>
          <w:bCs/>
          <w:sz w:val="21"/>
          <w:szCs w:val="21"/>
          <w:lang w:val="en-GB"/>
        </w:rPr>
        <w:t>EU bodies</w:t>
      </w:r>
      <w:r w:rsidRPr="36EED534">
        <w:rPr>
          <w:rFonts w:ascii="Calibri" w:eastAsia="Calibri" w:hAnsi="Calibri" w:cs="Calibri"/>
          <w:sz w:val="21"/>
          <w:szCs w:val="21"/>
          <w:lang w:val="en-GB"/>
        </w:rPr>
        <w:t xml:space="preserve"> — Legal entities created under EU law may also be eligible to receive funding, unless their basic act states otherwise. </w:t>
      </w:r>
    </w:p>
    <w:p w14:paraId="722E3DB3" w14:textId="1D332A90" w:rsidR="36EED534" w:rsidRDefault="36EED534" w:rsidP="36EED534">
      <w:pPr>
        <w:jc w:val="both"/>
        <w:rPr>
          <w:rFonts w:ascii="Calibri" w:eastAsia="Calibri" w:hAnsi="Calibri" w:cs="Calibri"/>
          <w:sz w:val="21"/>
          <w:szCs w:val="21"/>
          <w:lang w:val="en-GB"/>
        </w:rPr>
      </w:pPr>
      <w:r w:rsidRPr="36EED534">
        <w:rPr>
          <w:rFonts w:ascii="Calibri" w:eastAsia="Calibri" w:hAnsi="Calibri" w:cs="Calibri"/>
          <w:b/>
          <w:bCs/>
          <w:sz w:val="21"/>
          <w:szCs w:val="21"/>
          <w:lang w:val="en-GB"/>
        </w:rPr>
        <w:t>International organisations</w:t>
      </w:r>
      <w:r w:rsidRPr="36EED534">
        <w:rPr>
          <w:rFonts w:ascii="Calibri" w:eastAsia="Calibri" w:hAnsi="Calibri" w:cs="Calibri"/>
          <w:sz w:val="21"/>
          <w:szCs w:val="21"/>
          <w:lang w:val="en-GB"/>
        </w:rPr>
        <w:t xml:space="preserve"> — International European research organisations are eligible to receive funding. Unless their participation is considered essential for implementing the action by the granting authority, other international organisations are not eligible to receive funding. International organisations with headquarters in a Member State or Associated Country are eligible to receive funding for ‘Training and mobility’ actions and when provided for in the specific call conditions.</w:t>
      </w:r>
    </w:p>
    <w:p w14:paraId="006391FF" w14:textId="6FDCA812" w:rsidR="36EED534" w:rsidRDefault="36EED534" w:rsidP="36EED534">
      <w:pPr>
        <w:jc w:val="both"/>
        <w:rPr>
          <w:rFonts w:ascii="Calibri" w:eastAsia="Calibri" w:hAnsi="Calibri" w:cs="Calibri"/>
          <w:sz w:val="21"/>
          <w:szCs w:val="21"/>
          <w:lang w:val="en-GB"/>
        </w:rPr>
      </w:pPr>
    </w:p>
    <w:p w14:paraId="4E3BD9C6" w14:textId="6460C790" w:rsidR="36EED534" w:rsidRDefault="36EED534" w:rsidP="36EED534">
      <w:pPr>
        <w:jc w:val="both"/>
        <w:rPr>
          <w:rFonts w:ascii="Calibri" w:eastAsia="Calibri" w:hAnsi="Calibri" w:cs="Calibri"/>
          <w:sz w:val="21"/>
          <w:szCs w:val="21"/>
          <w:lang w:val="en-GB"/>
        </w:rPr>
      </w:pPr>
      <w:r w:rsidRPr="36EED534">
        <w:rPr>
          <w:rFonts w:eastAsiaTheme="minorEastAsia"/>
          <w:b/>
          <w:bCs/>
          <w:color w:val="000000" w:themeColor="text1"/>
          <w:sz w:val="21"/>
          <w:szCs w:val="21"/>
          <w:u w:val="single"/>
          <w:lang w:val="en-GB"/>
        </w:rPr>
        <w:lastRenderedPageBreak/>
        <w:t xml:space="preserve">Eligible entities </w:t>
      </w:r>
      <w:proofErr w:type="gramStart"/>
      <w:r w:rsidRPr="36EED534">
        <w:rPr>
          <w:rFonts w:eastAsiaTheme="minorEastAsia"/>
          <w:b/>
          <w:bCs/>
          <w:color w:val="000000" w:themeColor="text1"/>
          <w:sz w:val="21"/>
          <w:szCs w:val="21"/>
          <w:u w:val="single"/>
          <w:lang w:val="en-GB"/>
        </w:rPr>
        <w:t>-</w:t>
      </w:r>
      <w:r w:rsidRPr="36EED534">
        <w:rPr>
          <w:rFonts w:eastAsiaTheme="minorEastAsia"/>
          <w:b/>
          <w:bCs/>
          <w:color w:val="000000" w:themeColor="text1"/>
          <w:sz w:val="21"/>
          <w:szCs w:val="21"/>
          <w:lang w:val="en-GB"/>
        </w:rPr>
        <w:t xml:space="preserve">  </w:t>
      </w:r>
      <w:r w:rsidRPr="36EED534">
        <w:rPr>
          <w:rFonts w:ascii="Calibri" w:eastAsia="Calibri" w:hAnsi="Calibri" w:cs="Calibri"/>
          <w:sz w:val="21"/>
          <w:szCs w:val="21"/>
          <w:lang w:val="en-GB"/>
        </w:rPr>
        <w:t>Any</w:t>
      </w:r>
      <w:proofErr w:type="gramEnd"/>
      <w:r w:rsidRPr="36EED534">
        <w:rPr>
          <w:rFonts w:ascii="Calibri" w:eastAsia="Calibri" w:hAnsi="Calibri" w:cs="Calibri"/>
          <w:sz w:val="21"/>
          <w:szCs w:val="21"/>
          <w:lang w:val="en-GB"/>
        </w:rPr>
        <w:t xml:space="preserve"> legal entity, regardless of its place of establishment, including legal entities from non-associated third countries or international organisations (including international European research organisations) is eligible to participate (whether it is eligible for funding or not), provided that the conditions laid down in the Horizon Europe Regulation have been met, along with any other conditions laid down in the specific call topic.</w:t>
      </w:r>
    </w:p>
    <w:p w14:paraId="40AFBE2F" w14:textId="083C5064" w:rsidR="36EED534" w:rsidRDefault="36EED534" w:rsidP="36EED534">
      <w:pPr>
        <w:jc w:val="both"/>
        <w:rPr>
          <w:rFonts w:eastAsiaTheme="minorEastAsia"/>
          <w:b/>
          <w:bCs/>
          <w:color w:val="000000" w:themeColor="text1"/>
          <w:sz w:val="21"/>
          <w:szCs w:val="21"/>
          <w:u w:val="single"/>
          <w:lang w:val="en-GB"/>
        </w:rPr>
      </w:pPr>
    </w:p>
    <w:p w14:paraId="35329C2D" w14:textId="09E47301" w:rsidR="36EED534" w:rsidRDefault="36EED534" w:rsidP="36EED534">
      <w:pPr>
        <w:jc w:val="both"/>
        <w:rPr>
          <w:rFonts w:eastAsiaTheme="minorEastAsia"/>
          <w:b/>
          <w:bCs/>
          <w:color w:val="000000" w:themeColor="text1"/>
          <w:sz w:val="21"/>
          <w:szCs w:val="21"/>
          <w:u w:val="single"/>
          <w:lang w:val="en-GB"/>
        </w:rPr>
      </w:pPr>
      <w:r w:rsidRPr="36EED534">
        <w:rPr>
          <w:rFonts w:eastAsiaTheme="minorEastAsia"/>
          <w:b/>
          <w:bCs/>
          <w:color w:val="000000" w:themeColor="text1"/>
          <w:sz w:val="21"/>
          <w:szCs w:val="21"/>
          <w:u w:val="single"/>
          <w:lang w:val="en-GB"/>
        </w:rPr>
        <w:t>Concept Note of UPJS:</w:t>
      </w:r>
    </w:p>
    <w:p w14:paraId="17013AAC" w14:textId="708BADFA" w:rsidR="008B4252" w:rsidRDefault="489376E3" w:rsidP="36EED534">
      <w:pPr>
        <w:jc w:val="both"/>
        <w:rPr>
          <w:rFonts w:eastAsiaTheme="minorEastAsia"/>
          <w:sz w:val="21"/>
          <w:szCs w:val="21"/>
        </w:rPr>
      </w:pPr>
      <w:r w:rsidRPr="36EED534">
        <w:rPr>
          <w:rFonts w:eastAsiaTheme="minorEastAsia"/>
          <w:color w:val="000000" w:themeColor="text1"/>
          <w:sz w:val="21"/>
          <w:szCs w:val="21"/>
          <w:lang w:val="en-GB"/>
        </w:rPr>
        <w:t xml:space="preserve">Institute of Geography at UPJS, Slovakia has a research team </w:t>
      </w:r>
      <w:r w:rsidRPr="36EED534">
        <w:rPr>
          <w:rFonts w:eastAsiaTheme="minorEastAsia"/>
          <w:color w:val="000000" w:themeColor="text1"/>
          <w:sz w:val="21"/>
          <w:szCs w:val="21"/>
        </w:rPr>
        <w:t xml:space="preserve">experienced in research of spatial mobility of population, assessment of shared mobility systems, </w:t>
      </w:r>
      <w:r w:rsidRPr="36EED534">
        <w:rPr>
          <w:rFonts w:eastAsiaTheme="minorEastAsia"/>
          <w:color w:val="000000" w:themeColor="text1"/>
          <w:sz w:val="21"/>
          <w:szCs w:val="21"/>
          <w:lang w:val="en"/>
        </w:rPr>
        <w:t xml:space="preserve">and with the evaluation of emissions from transport in the carbon strategy of the city of </w:t>
      </w:r>
      <w:proofErr w:type="spellStart"/>
      <w:r w:rsidRPr="36EED534">
        <w:rPr>
          <w:rFonts w:eastAsiaTheme="minorEastAsia"/>
          <w:color w:val="000000" w:themeColor="text1"/>
          <w:sz w:val="21"/>
          <w:szCs w:val="21"/>
          <w:lang w:val="en"/>
        </w:rPr>
        <w:t>Košice</w:t>
      </w:r>
      <w:proofErr w:type="spellEnd"/>
      <w:r w:rsidRPr="36EED534">
        <w:rPr>
          <w:rFonts w:eastAsiaTheme="minorEastAsia"/>
          <w:color w:val="000000" w:themeColor="text1"/>
          <w:sz w:val="21"/>
          <w:szCs w:val="21"/>
          <w:lang w:val="en"/>
        </w:rPr>
        <w:t xml:space="preserve">. In this topic, we can imagine the compilation of the so-called living labs with the involvement of municipalities, shared transport operators, public transport, and its users, we can examine spatial mobility within the city, assess the potential impacts of behavioral changes on the production of emissions. Thanks to experience of organizing international events and established cooperation with cities and regions in Slovakia and abroad, it can contribute to promotion of the CIVITAS ideas and enlarging its network.  </w:t>
      </w:r>
    </w:p>
    <w:p w14:paraId="55640299" w14:textId="7458DFB6" w:rsidR="489376E3" w:rsidRDefault="489376E3" w:rsidP="36EED534">
      <w:pPr>
        <w:jc w:val="both"/>
        <w:rPr>
          <w:rFonts w:eastAsiaTheme="minorEastAsia"/>
          <w:color w:val="000000" w:themeColor="text1"/>
          <w:lang w:val="en"/>
        </w:rPr>
      </w:pPr>
      <w:r w:rsidRPr="36EED534">
        <w:rPr>
          <w:rFonts w:eastAsiaTheme="minorEastAsia"/>
          <w:color w:val="000000" w:themeColor="text1"/>
          <w:sz w:val="21"/>
          <w:szCs w:val="21"/>
          <w:lang w:val="en"/>
        </w:rPr>
        <w:t>Taking into account that only one city (</w:t>
      </w:r>
      <w:proofErr w:type="spellStart"/>
      <w:r w:rsidRPr="36EED534">
        <w:rPr>
          <w:rFonts w:eastAsiaTheme="minorEastAsia"/>
          <w:color w:val="000000" w:themeColor="text1"/>
          <w:sz w:val="21"/>
          <w:szCs w:val="21"/>
          <w:lang w:val="en"/>
        </w:rPr>
        <w:t>Zilina</w:t>
      </w:r>
      <w:proofErr w:type="spellEnd"/>
      <w:r w:rsidRPr="36EED534">
        <w:rPr>
          <w:rFonts w:eastAsiaTheme="minorEastAsia"/>
          <w:color w:val="000000" w:themeColor="text1"/>
          <w:sz w:val="21"/>
          <w:szCs w:val="21"/>
          <w:lang w:val="en"/>
        </w:rPr>
        <w:t xml:space="preserve">) is involved in the CIVITAS project in </w:t>
      </w:r>
      <w:proofErr w:type="gramStart"/>
      <w:r w:rsidRPr="36EED534">
        <w:rPr>
          <w:rFonts w:eastAsiaTheme="minorEastAsia"/>
          <w:color w:val="000000" w:themeColor="text1"/>
          <w:sz w:val="21"/>
          <w:szCs w:val="21"/>
          <w:lang w:val="en"/>
        </w:rPr>
        <w:t>Slovakia,</w:t>
      </w:r>
      <w:proofErr w:type="gramEnd"/>
      <w:r w:rsidRPr="36EED534">
        <w:rPr>
          <w:rFonts w:eastAsiaTheme="minorEastAsia"/>
          <w:color w:val="000000" w:themeColor="text1"/>
          <w:sz w:val="21"/>
          <w:szCs w:val="21"/>
          <w:lang w:val="en"/>
        </w:rPr>
        <w:t xml:space="preserve"> we anticipate considerable potential for expanding this network.</w:t>
      </w:r>
    </w:p>
    <w:sectPr w:rsidR="48937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D1B"/>
    <w:multiLevelType w:val="hybridMultilevel"/>
    <w:tmpl w:val="62222144"/>
    <w:lvl w:ilvl="0" w:tplc="9B2C8126">
      <w:start w:val="1"/>
      <w:numFmt w:val="bullet"/>
      <w:lvlText w:val=""/>
      <w:lvlJc w:val="left"/>
      <w:pPr>
        <w:ind w:left="720" w:hanging="360"/>
      </w:pPr>
      <w:rPr>
        <w:rFonts w:ascii="Symbol" w:hAnsi="Symbol" w:hint="default"/>
      </w:rPr>
    </w:lvl>
    <w:lvl w:ilvl="1" w:tplc="FD22CB1E">
      <w:start w:val="1"/>
      <w:numFmt w:val="bullet"/>
      <w:lvlText w:val="o"/>
      <w:lvlJc w:val="left"/>
      <w:pPr>
        <w:ind w:left="1440" w:hanging="360"/>
      </w:pPr>
      <w:rPr>
        <w:rFonts w:ascii="Courier New" w:hAnsi="Courier New" w:hint="default"/>
      </w:rPr>
    </w:lvl>
    <w:lvl w:ilvl="2" w:tplc="EB1C4F20">
      <w:start w:val="1"/>
      <w:numFmt w:val="bullet"/>
      <w:lvlText w:val=""/>
      <w:lvlJc w:val="left"/>
      <w:pPr>
        <w:ind w:left="2160" w:hanging="360"/>
      </w:pPr>
      <w:rPr>
        <w:rFonts w:ascii="Wingdings" w:hAnsi="Wingdings" w:hint="default"/>
      </w:rPr>
    </w:lvl>
    <w:lvl w:ilvl="3" w:tplc="03EA67A8">
      <w:start w:val="1"/>
      <w:numFmt w:val="bullet"/>
      <w:lvlText w:val=""/>
      <w:lvlJc w:val="left"/>
      <w:pPr>
        <w:ind w:left="2880" w:hanging="360"/>
      </w:pPr>
      <w:rPr>
        <w:rFonts w:ascii="Symbol" w:hAnsi="Symbol" w:hint="default"/>
      </w:rPr>
    </w:lvl>
    <w:lvl w:ilvl="4" w:tplc="2AECFAFA">
      <w:start w:val="1"/>
      <w:numFmt w:val="bullet"/>
      <w:lvlText w:val="o"/>
      <w:lvlJc w:val="left"/>
      <w:pPr>
        <w:ind w:left="3600" w:hanging="360"/>
      </w:pPr>
      <w:rPr>
        <w:rFonts w:ascii="Courier New" w:hAnsi="Courier New" w:hint="default"/>
      </w:rPr>
    </w:lvl>
    <w:lvl w:ilvl="5" w:tplc="EFC02A5E">
      <w:start w:val="1"/>
      <w:numFmt w:val="bullet"/>
      <w:lvlText w:val=""/>
      <w:lvlJc w:val="left"/>
      <w:pPr>
        <w:ind w:left="4320" w:hanging="360"/>
      </w:pPr>
      <w:rPr>
        <w:rFonts w:ascii="Wingdings" w:hAnsi="Wingdings" w:hint="default"/>
      </w:rPr>
    </w:lvl>
    <w:lvl w:ilvl="6" w:tplc="CFDEED42">
      <w:start w:val="1"/>
      <w:numFmt w:val="bullet"/>
      <w:lvlText w:val=""/>
      <w:lvlJc w:val="left"/>
      <w:pPr>
        <w:ind w:left="5040" w:hanging="360"/>
      </w:pPr>
      <w:rPr>
        <w:rFonts w:ascii="Symbol" w:hAnsi="Symbol" w:hint="default"/>
      </w:rPr>
    </w:lvl>
    <w:lvl w:ilvl="7" w:tplc="8396AC26">
      <w:start w:val="1"/>
      <w:numFmt w:val="bullet"/>
      <w:lvlText w:val="o"/>
      <w:lvlJc w:val="left"/>
      <w:pPr>
        <w:ind w:left="5760" w:hanging="360"/>
      </w:pPr>
      <w:rPr>
        <w:rFonts w:ascii="Courier New" w:hAnsi="Courier New" w:hint="default"/>
      </w:rPr>
    </w:lvl>
    <w:lvl w:ilvl="8" w:tplc="C172B3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D4333"/>
    <w:rsid w:val="00744DFE"/>
    <w:rsid w:val="008B4252"/>
    <w:rsid w:val="01BF93E8"/>
    <w:rsid w:val="14025D41"/>
    <w:rsid w:val="2811387B"/>
    <w:rsid w:val="36EED534"/>
    <w:rsid w:val="3BFCF2DB"/>
    <w:rsid w:val="3E8B573F"/>
    <w:rsid w:val="45711623"/>
    <w:rsid w:val="4706E91B"/>
    <w:rsid w:val="489376E3"/>
    <w:rsid w:val="4A0D4333"/>
    <w:rsid w:val="523670CE"/>
    <w:rsid w:val="579A5B94"/>
    <w:rsid w:val="6A5F9403"/>
    <w:rsid w:val="77CEEC39"/>
    <w:rsid w:val="7CC44F4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6728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Nikola Jureková PhD.</dc:creator>
  <cp:lastModifiedBy>Utilisateur Windows</cp:lastModifiedBy>
  <cp:revision>2</cp:revision>
  <dcterms:created xsi:type="dcterms:W3CDTF">2022-06-13T07:25:00Z</dcterms:created>
  <dcterms:modified xsi:type="dcterms:W3CDTF">2022-06-13T07:25:00Z</dcterms:modified>
</cp:coreProperties>
</file>