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DC" w:rsidRPr="003678DC" w:rsidRDefault="003678DC" w:rsidP="003678DC">
      <w:pPr>
        <w:rPr>
          <w:b/>
          <w:bCs/>
        </w:rPr>
      </w:pPr>
      <w:bookmarkStart w:id="0" w:name="_GoBack"/>
      <w:bookmarkEnd w:id="0"/>
      <w:r w:rsidRPr="003678DC">
        <w:rPr>
          <w:b/>
          <w:bCs/>
        </w:rPr>
        <w:t>Programme</w:t>
      </w:r>
      <w:r w:rsidR="006758F5">
        <w:rPr>
          <w:b/>
          <w:bCs/>
        </w:rPr>
        <w:t>;</w:t>
      </w:r>
    </w:p>
    <w:p w:rsidR="003678DC" w:rsidRPr="003678DC" w:rsidRDefault="003678DC" w:rsidP="003678DC">
      <w:pPr>
        <w:rPr>
          <w:b/>
          <w:bCs/>
        </w:rPr>
      </w:pPr>
      <w:r w:rsidRPr="003678DC">
        <w:rPr>
          <w:b/>
          <w:bCs/>
        </w:rPr>
        <w:t>Erasmus+ Programme (ERASMUS)</w:t>
      </w:r>
    </w:p>
    <w:p w:rsidR="003678DC" w:rsidRDefault="003678DC">
      <w:pPr>
        <w:rPr>
          <w:b/>
          <w:bCs/>
        </w:rPr>
      </w:pPr>
      <w:r w:rsidRPr="003678DC">
        <w:rPr>
          <w:b/>
          <w:bCs/>
        </w:rPr>
        <w:t>Call</w:t>
      </w:r>
      <w:r w:rsidR="006758F5">
        <w:rPr>
          <w:b/>
          <w:bCs/>
        </w:rPr>
        <w:t>;</w:t>
      </w:r>
    </w:p>
    <w:p w:rsidR="006957BB" w:rsidRPr="003678DC" w:rsidRDefault="00F041A1">
      <w:pPr>
        <w:rPr>
          <w:b/>
          <w:bCs/>
        </w:rPr>
      </w:pPr>
      <w:hyperlink r:id="rId6" w:history="1">
        <w:r w:rsidR="003678DC" w:rsidRPr="003678DC">
          <w:rPr>
            <w:b/>
          </w:rPr>
          <w:t>Partnership for Excellence - Erasmus+ Teacher Academies (ERASMUS-EDU-2021-PEX-TEACH-ACA)</w:t>
        </w:r>
      </w:hyperlink>
    </w:p>
    <w:p w:rsidR="003678DC" w:rsidRPr="003678DC" w:rsidRDefault="003678DC" w:rsidP="003678DC">
      <w:r w:rsidRPr="003678DC">
        <w:t>The Erasmus+ Teacher Academies will meet the following objectives:</w:t>
      </w:r>
    </w:p>
    <w:p w:rsidR="003678DC" w:rsidRPr="003678DC" w:rsidRDefault="003678DC" w:rsidP="003678DC">
      <w:pPr>
        <w:numPr>
          <w:ilvl w:val="0"/>
          <w:numId w:val="1"/>
        </w:numPr>
      </w:pPr>
      <w:r w:rsidRPr="003678DC">
        <w:t xml:space="preserve">Contribute to the improvement of teacher education policies and practices in Europe by creating networks and communities of practice on teacher education that bring together providers of initial teacher education (pre-service education for future teachers) and providers of continuing professional development (in-service), other relevant </w:t>
      </w:r>
      <w:proofErr w:type="spellStart"/>
      <w:r w:rsidRPr="003678DC">
        <w:t>actors</w:t>
      </w:r>
      <w:proofErr w:type="spellEnd"/>
      <w:r w:rsidRPr="003678DC">
        <w:t xml:space="preserve"> such as teacher association, ministries and stakeholders to develop and test strategies and programmes for professional learning that is effective, accessible and transferable to other contexts.</w:t>
      </w:r>
    </w:p>
    <w:p w:rsidR="003678DC" w:rsidRPr="003678DC" w:rsidRDefault="003678DC" w:rsidP="003678DC">
      <w:pPr>
        <w:numPr>
          <w:ilvl w:val="0"/>
          <w:numId w:val="1"/>
        </w:numPr>
      </w:pPr>
      <w:r w:rsidRPr="003678DC">
        <w:t>Enhance the </w:t>
      </w:r>
      <w:r w:rsidRPr="003678DC">
        <w:rPr>
          <w:b/>
          <w:bCs/>
        </w:rPr>
        <w:t>European dimension</w:t>
      </w:r>
      <w:r w:rsidRPr="003678DC">
        <w:t> and internationalisation of teacher education through innovative and practical collaboration with teacher educators and teachers in other European countries and by sharing experiences for the further development of teacher education in Europe. This collaboration will address the key priorities of the European Union such as learning in the digital world, sustainability, equity and inclusion, also by offering teachers courses, modules and other learning opportunities on these topics.</w:t>
      </w:r>
    </w:p>
    <w:p w:rsidR="003678DC" w:rsidRPr="003678DC" w:rsidRDefault="003678DC" w:rsidP="003678DC">
      <w:pPr>
        <w:numPr>
          <w:ilvl w:val="0"/>
          <w:numId w:val="1"/>
        </w:numPr>
      </w:pPr>
      <w:r w:rsidRPr="003678DC">
        <w:t>Develop and test jointly different models of </w:t>
      </w:r>
      <w:r w:rsidRPr="003678DC">
        <w:rPr>
          <w:b/>
          <w:bCs/>
        </w:rPr>
        <w:t>mobility (virtual, physical and blended)</w:t>
      </w:r>
      <w:r w:rsidRPr="003678DC">
        <w:t> in initial teacher education and as part of teachers’ continuous professional development in order to enhance the quality and number of mobility as well as to make mobility an integral part of teacher education provision in Europe.</w:t>
      </w:r>
    </w:p>
    <w:p w:rsidR="003678DC" w:rsidRPr="003678DC" w:rsidRDefault="003678DC" w:rsidP="003678DC">
      <w:pPr>
        <w:numPr>
          <w:ilvl w:val="0"/>
          <w:numId w:val="1"/>
        </w:numPr>
      </w:pPr>
      <w:r w:rsidRPr="003678DC">
        <w:t>Develop </w:t>
      </w:r>
      <w:r w:rsidRPr="003678DC">
        <w:rPr>
          <w:b/>
          <w:bCs/>
        </w:rPr>
        <w:t>sustainable collaboration</w:t>
      </w:r>
      <w:r w:rsidRPr="003678DC">
        <w:t> between teacher education providers with an impact to the quality of teacher education in Europe and with a view to inform teacher education polices at European and national levels.</w:t>
      </w:r>
    </w:p>
    <w:p w:rsidR="003678DC" w:rsidRDefault="003678DC">
      <w:pPr>
        <w:rPr>
          <w:b/>
        </w:rPr>
      </w:pPr>
      <w:r w:rsidRPr="003678DC">
        <w:rPr>
          <w:b/>
        </w:rPr>
        <w:t>PROJECT SUMMARY</w:t>
      </w:r>
    </w:p>
    <w:p w:rsidR="006758F5" w:rsidRPr="006758F5" w:rsidRDefault="003678DC" w:rsidP="003678DC">
      <w:r w:rsidRPr="003678DC">
        <w:t xml:space="preserve">The project aims to create a comprehensive and qualified </w:t>
      </w:r>
      <w:r w:rsidR="006758F5">
        <w:t>model</w:t>
      </w:r>
      <w:r w:rsidRPr="003678DC">
        <w:t xml:space="preserve"> on</w:t>
      </w:r>
      <w:r>
        <w:rPr>
          <w:b/>
        </w:rPr>
        <w:t xml:space="preserve"> “Teaching</w:t>
      </w:r>
      <w:r w:rsidR="006758F5">
        <w:rPr>
          <w:b/>
        </w:rPr>
        <w:t xml:space="preserve"> Profession” </w:t>
      </w:r>
      <w:r w:rsidR="006758F5">
        <w:t>in Europe. In the first phase of the project, each partner country will supply the information of procedures applied at their local arena to be able to create country report. Each report will be composed together to compare the status quo of the teaching profession by the statistic and realistic data. The issues, problems, needs and obstacles of the profession will be analysed by questionnaires, filed studies, interviews etc. The suggestion report will be created together with the experts, professionals, managers and teachers along with the students of teaching faculties.  The report will be presented to policy makers at local arena and in Brussels.</w:t>
      </w:r>
      <w:r w:rsidR="006758F5" w:rsidRPr="006758F5">
        <w:rPr>
          <w:b/>
        </w:rPr>
        <w:t xml:space="preserve"> </w:t>
      </w:r>
    </w:p>
    <w:p w:rsidR="005A3133" w:rsidRDefault="005A3133" w:rsidP="003678DC">
      <w:pPr>
        <w:rPr>
          <w:b/>
        </w:rPr>
      </w:pPr>
      <w:r>
        <w:rPr>
          <w:b/>
        </w:rPr>
        <w:t xml:space="preserve">Work Package 1; Ideal Model of Teacher Education </w:t>
      </w:r>
    </w:p>
    <w:p w:rsidR="005A3133" w:rsidRPr="006758F5" w:rsidRDefault="005A3133" w:rsidP="003678DC">
      <w:r>
        <w:rPr>
          <w:b/>
        </w:rPr>
        <w:t xml:space="preserve">Activity 1; </w:t>
      </w:r>
      <w:r w:rsidRPr="006758F5">
        <w:t>Creating Country Reports on Teacher Education in Europe.</w:t>
      </w:r>
    </w:p>
    <w:p w:rsidR="005A3133" w:rsidRPr="006758F5" w:rsidRDefault="005A3133" w:rsidP="003678DC">
      <w:r>
        <w:rPr>
          <w:b/>
        </w:rPr>
        <w:t xml:space="preserve">Activity 2; </w:t>
      </w:r>
      <w:r w:rsidRPr="006758F5">
        <w:t>Composing Comparative Report on Teacher Education in Europe.</w:t>
      </w:r>
    </w:p>
    <w:p w:rsidR="005A3133" w:rsidRPr="006758F5" w:rsidRDefault="005A3133" w:rsidP="003678DC">
      <w:r>
        <w:rPr>
          <w:b/>
        </w:rPr>
        <w:t xml:space="preserve">Activity 3; </w:t>
      </w:r>
      <w:r w:rsidRPr="006758F5">
        <w:t>Analysing the issues on Teacher Education in Europe.</w:t>
      </w:r>
    </w:p>
    <w:p w:rsidR="005A3133" w:rsidRDefault="005A3133" w:rsidP="003678DC">
      <w:pPr>
        <w:rPr>
          <w:b/>
        </w:rPr>
      </w:pPr>
      <w:r>
        <w:rPr>
          <w:b/>
        </w:rPr>
        <w:t xml:space="preserve">Activity 4; </w:t>
      </w:r>
      <w:r w:rsidRPr="006758F5">
        <w:t>Creating the suggestion Report on TE.</w:t>
      </w:r>
      <w:r>
        <w:rPr>
          <w:b/>
        </w:rPr>
        <w:t xml:space="preserve"> </w:t>
      </w:r>
    </w:p>
    <w:p w:rsidR="005A3133" w:rsidRPr="006758F5" w:rsidRDefault="005A3133" w:rsidP="003678DC">
      <w:r>
        <w:rPr>
          <w:b/>
        </w:rPr>
        <w:lastRenderedPageBreak/>
        <w:t xml:space="preserve">Activity 5; </w:t>
      </w:r>
      <w:r w:rsidRPr="006758F5">
        <w:t xml:space="preserve">Meetings with Policy Makers. </w:t>
      </w:r>
    </w:p>
    <w:p w:rsidR="0091475F" w:rsidRDefault="0091475F" w:rsidP="003678DC"/>
    <w:p w:rsidR="005A3133" w:rsidRPr="00ED4C6D" w:rsidRDefault="006758F5" w:rsidP="003678DC">
      <w:pPr>
        <w:rPr>
          <w:b/>
        </w:rPr>
      </w:pPr>
      <w:r w:rsidRPr="00ED4C6D">
        <w:t xml:space="preserve">The second work package will base on the </w:t>
      </w:r>
      <w:r w:rsidR="00ED4C6D" w:rsidRPr="00ED4C6D">
        <w:t>New/Young Teachers.</w:t>
      </w:r>
      <w:r w:rsidR="00ED4C6D">
        <w:rPr>
          <w:b/>
        </w:rPr>
        <w:t xml:space="preserve"> </w:t>
      </w:r>
      <w:r w:rsidR="00ED4C6D">
        <w:t xml:space="preserve">The teachers will transmit their needs, obstacles, requests and demands to be able to conduct their job much more professionally and willing. In the symposium, the teachers are expected to state their suggestions and ideas. </w:t>
      </w:r>
      <w:r w:rsidR="00BC5521">
        <w:t>At the end of the work package, a digital tool will be created to supply a communication web</w:t>
      </w:r>
      <w:r w:rsidR="00D93841">
        <w:t xml:space="preserve"> among the teachers and a digital forum. By the digital forum, mentor teachers can help solve the matters of new teachers. </w:t>
      </w:r>
    </w:p>
    <w:p w:rsidR="006758F5" w:rsidRPr="00ED4C6D" w:rsidRDefault="006758F5" w:rsidP="00ED4C6D">
      <w:pPr>
        <w:rPr>
          <w:b/>
        </w:rPr>
      </w:pPr>
      <w:r>
        <w:rPr>
          <w:b/>
        </w:rPr>
        <w:t xml:space="preserve">Work Package </w:t>
      </w:r>
      <w:r w:rsidR="00D93841">
        <w:rPr>
          <w:b/>
        </w:rPr>
        <w:t>2</w:t>
      </w:r>
      <w:r>
        <w:rPr>
          <w:b/>
        </w:rPr>
        <w:t xml:space="preserve">; </w:t>
      </w:r>
      <w:r w:rsidR="00ED4C6D" w:rsidRPr="00ED4C6D">
        <w:rPr>
          <w:b/>
        </w:rPr>
        <w:t xml:space="preserve">Symposium </w:t>
      </w:r>
      <w:r w:rsidR="00ED4C6D">
        <w:rPr>
          <w:b/>
        </w:rPr>
        <w:t xml:space="preserve">for New/ Young </w:t>
      </w:r>
      <w:r w:rsidR="00ED4C6D" w:rsidRPr="00ED4C6D">
        <w:rPr>
          <w:b/>
        </w:rPr>
        <w:t>Teachers</w:t>
      </w:r>
    </w:p>
    <w:p w:rsidR="006758F5" w:rsidRPr="006758F5" w:rsidRDefault="006758F5" w:rsidP="006758F5">
      <w:r>
        <w:rPr>
          <w:b/>
        </w:rPr>
        <w:t xml:space="preserve">Activity 1; </w:t>
      </w:r>
      <w:r w:rsidR="00ED4C6D" w:rsidRPr="00ED4C6D">
        <w:t>Determining the needs</w:t>
      </w:r>
      <w:r w:rsidR="00ED4C6D">
        <w:t>, obstacles</w:t>
      </w:r>
      <w:r w:rsidR="00ED4C6D" w:rsidRPr="00ED4C6D">
        <w:t xml:space="preserve"> and requests of the new teachers</w:t>
      </w:r>
      <w:r w:rsidR="00ED4C6D">
        <w:t xml:space="preserve">. </w:t>
      </w:r>
      <w:r w:rsidR="00ED4C6D">
        <w:rPr>
          <w:b/>
        </w:rPr>
        <w:t xml:space="preserve"> </w:t>
      </w:r>
    </w:p>
    <w:p w:rsidR="006758F5" w:rsidRPr="006758F5" w:rsidRDefault="006758F5" w:rsidP="006758F5">
      <w:r>
        <w:rPr>
          <w:b/>
        </w:rPr>
        <w:t xml:space="preserve">Activity 2; </w:t>
      </w:r>
      <w:r w:rsidR="00ED4C6D">
        <w:t>Organising a well-attended symposium for new teachers.</w:t>
      </w:r>
    </w:p>
    <w:p w:rsidR="006758F5" w:rsidRPr="006758F5" w:rsidRDefault="006758F5" w:rsidP="006758F5">
      <w:r>
        <w:rPr>
          <w:b/>
        </w:rPr>
        <w:t xml:space="preserve">Activity 3; </w:t>
      </w:r>
      <w:r w:rsidR="00ED4C6D">
        <w:t xml:space="preserve">Creating a “communication web” among the teachers by digital tools. </w:t>
      </w:r>
    </w:p>
    <w:p w:rsidR="006758F5" w:rsidRDefault="006758F5" w:rsidP="006758F5">
      <w:pPr>
        <w:rPr>
          <w:b/>
        </w:rPr>
      </w:pPr>
      <w:r>
        <w:rPr>
          <w:b/>
        </w:rPr>
        <w:t xml:space="preserve">Activity 4; </w:t>
      </w:r>
      <w:r w:rsidR="00ED4C6D">
        <w:t xml:space="preserve">Establishing a “digital forum” for the young teachers. </w:t>
      </w:r>
      <w:r>
        <w:rPr>
          <w:b/>
        </w:rPr>
        <w:t xml:space="preserve"> </w:t>
      </w:r>
    </w:p>
    <w:p w:rsidR="0091475F" w:rsidRDefault="0091475F" w:rsidP="006758F5"/>
    <w:p w:rsidR="006758F5" w:rsidRDefault="0023015E" w:rsidP="006758F5">
      <w:r>
        <w:t>As it is stated in the guide of the call “mobility” is initial in terms of supplying broad opportunities to the teachers to be able to improve themselves professionally. For that reason, t</w:t>
      </w:r>
      <w:r w:rsidR="00D93841">
        <w:t xml:space="preserve">he third work package will be about mobility </w:t>
      </w:r>
      <w:r>
        <w:t xml:space="preserve">of the teachers for </w:t>
      </w:r>
      <w:r w:rsidR="000C24D2">
        <w:t xml:space="preserve">attending courses on digital education and </w:t>
      </w:r>
      <w:r>
        <w:t>conducting</w:t>
      </w:r>
      <w:r w:rsidR="00D93841">
        <w:t xml:space="preserve"> teaching profession in Europe. </w:t>
      </w:r>
      <w:r w:rsidR="000C24D2">
        <w:t xml:space="preserve">That is to say, there will be two kinds of mobility. The first one is about capacity building of teachers on digitalisation of the education and the second one is about performing their profession in different country to be able to exchange of good practices and have experience on teaching to different local arena.  </w:t>
      </w:r>
    </w:p>
    <w:p w:rsidR="00D93841" w:rsidRDefault="00D93841" w:rsidP="006758F5">
      <w:pPr>
        <w:rPr>
          <w:b/>
        </w:rPr>
      </w:pPr>
      <w:r w:rsidRPr="00D93841">
        <w:rPr>
          <w:b/>
        </w:rPr>
        <w:t>Work Package 3;</w:t>
      </w:r>
      <w:r>
        <w:rPr>
          <w:b/>
        </w:rPr>
        <w:t xml:space="preserve"> </w:t>
      </w:r>
      <w:r w:rsidR="0023015E">
        <w:rPr>
          <w:b/>
        </w:rPr>
        <w:t xml:space="preserve">Learning /teaching Mobility of Teachers </w:t>
      </w:r>
    </w:p>
    <w:p w:rsidR="00D93841" w:rsidRPr="006758F5" w:rsidRDefault="00D93841" w:rsidP="00D93841">
      <w:r>
        <w:rPr>
          <w:b/>
        </w:rPr>
        <w:t xml:space="preserve">Activity 1; </w:t>
      </w:r>
      <w:r w:rsidR="0023015E">
        <w:t xml:space="preserve">Organising learning mobility for teachers on digital capabilities. </w:t>
      </w:r>
    </w:p>
    <w:p w:rsidR="00D93841" w:rsidRPr="006758F5" w:rsidRDefault="00D93841" w:rsidP="00D93841">
      <w:r>
        <w:rPr>
          <w:b/>
        </w:rPr>
        <w:t xml:space="preserve">Activity 2; </w:t>
      </w:r>
      <w:r w:rsidR="0023015E">
        <w:t>Enabling teachers to have the opportunity to teach in Europe (different country from their own local arena)</w:t>
      </w:r>
    </w:p>
    <w:p w:rsidR="0091475F" w:rsidRPr="00B96573" w:rsidRDefault="0091475F" w:rsidP="0091475F"/>
    <w:p w:rsidR="00B96573" w:rsidRPr="00C64020" w:rsidRDefault="00C64020" w:rsidP="0091475F">
      <w:pPr>
        <w:rPr>
          <w:b/>
        </w:rPr>
      </w:pPr>
      <w:r w:rsidRPr="00C64020">
        <w:t>Digitalisation is a vector method enables the individuals to collaborate with each other, find solutions to common issues, boost their capacity and share knowledge. For that reason, in the fourth work package of the proposed project, a digital platform serving the teachers performing in Europe</w:t>
      </w:r>
      <w:r>
        <w:t xml:space="preserve"> will be created. </w:t>
      </w:r>
      <w:r>
        <w:rPr>
          <w:b/>
        </w:rPr>
        <w:t xml:space="preserve"> </w:t>
      </w:r>
      <w:r w:rsidRPr="00C64020">
        <w:rPr>
          <w:b/>
        </w:rPr>
        <w:t xml:space="preserve"> </w:t>
      </w:r>
    </w:p>
    <w:p w:rsidR="0091475F" w:rsidRDefault="0091475F" w:rsidP="000C24D2">
      <w:pPr>
        <w:rPr>
          <w:b/>
        </w:rPr>
      </w:pPr>
      <w:r w:rsidRPr="0091475F">
        <w:rPr>
          <w:b/>
        </w:rPr>
        <w:t xml:space="preserve">Work Package </w:t>
      </w:r>
      <w:r>
        <w:rPr>
          <w:b/>
        </w:rPr>
        <w:t>4</w:t>
      </w:r>
      <w:r w:rsidRPr="0091475F">
        <w:rPr>
          <w:b/>
        </w:rPr>
        <w:t xml:space="preserve">; </w:t>
      </w:r>
      <w:r>
        <w:rPr>
          <w:b/>
        </w:rPr>
        <w:t xml:space="preserve">Digital Platform for Teachers </w:t>
      </w:r>
      <w:r w:rsidRPr="0091475F">
        <w:rPr>
          <w:b/>
        </w:rPr>
        <w:t xml:space="preserve"> </w:t>
      </w:r>
    </w:p>
    <w:p w:rsidR="000C24D2" w:rsidRPr="006758F5" w:rsidRDefault="000C24D2" w:rsidP="000C24D2">
      <w:r>
        <w:rPr>
          <w:b/>
        </w:rPr>
        <w:t xml:space="preserve">Activity 1; </w:t>
      </w:r>
      <w:r w:rsidR="00B96573">
        <w:t>Determining the content of the platform. /sub-structure/administration panel</w:t>
      </w:r>
      <w:r w:rsidR="00F20C99">
        <w:t xml:space="preserve"> (workshop)</w:t>
      </w:r>
    </w:p>
    <w:p w:rsidR="000C24D2" w:rsidRPr="006758F5" w:rsidRDefault="00F20C99" w:rsidP="000C24D2">
      <w:r>
        <w:rPr>
          <w:b/>
        </w:rPr>
        <w:t xml:space="preserve">Activity 2; </w:t>
      </w:r>
      <w:r w:rsidRPr="00F20C99">
        <w:t>Creating the digital platform</w:t>
      </w:r>
      <w:r>
        <w:rPr>
          <w:b/>
        </w:rPr>
        <w:t xml:space="preserve"> </w:t>
      </w:r>
    </w:p>
    <w:p w:rsidR="00B96573" w:rsidRDefault="000C24D2" w:rsidP="000C24D2">
      <w:r>
        <w:rPr>
          <w:b/>
        </w:rPr>
        <w:t xml:space="preserve">Activity 3; </w:t>
      </w:r>
      <w:r w:rsidR="00F20C99">
        <w:t>D</w:t>
      </w:r>
      <w:r w:rsidR="00F20C99" w:rsidRPr="00F20C99">
        <w:t>eveloping the content and uploading the data to the platform to be able to share the information among the teachers.</w:t>
      </w:r>
      <w:r w:rsidR="00F20C99">
        <w:rPr>
          <w:b/>
        </w:rPr>
        <w:t xml:space="preserve"> </w:t>
      </w:r>
    </w:p>
    <w:p w:rsidR="00D93841" w:rsidRDefault="00D93841" w:rsidP="00D93841">
      <w:pPr>
        <w:rPr>
          <w:b/>
        </w:rPr>
      </w:pPr>
    </w:p>
    <w:p w:rsidR="0091475F" w:rsidRPr="0091475F" w:rsidRDefault="0091475F" w:rsidP="0091475F">
      <w:pPr>
        <w:rPr>
          <w:b/>
        </w:rPr>
      </w:pPr>
      <w:r w:rsidRPr="0091475F">
        <w:rPr>
          <w:b/>
        </w:rPr>
        <w:t xml:space="preserve">Work Package </w:t>
      </w:r>
      <w:r>
        <w:rPr>
          <w:b/>
        </w:rPr>
        <w:t>5</w:t>
      </w:r>
      <w:r w:rsidRPr="0091475F">
        <w:rPr>
          <w:b/>
        </w:rPr>
        <w:t xml:space="preserve">; </w:t>
      </w:r>
      <w:r>
        <w:rPr>
          <w:b/>
        </w:rPr>
        <w:t>Meeting Brussels</w:t>
      </w:r>
      <w:r w:rsidRPr="0091475F">
        <w:rPr>
          <w:b/>
        </w:rPr>
        <w:t xml:space="preserve">  </w:t>
      </w:r>
    </w:p>
    <w:p w:rsidR="0091475F" w:rsidRPr="00987E01" w:rsidRDefault="0091475F" w:rsidP="0091475F">
      <w:r w:rsidRPr="00987E01">
        <w:lastRenderedPageBreak/>
        <w:t xml:space="preserve">All the outputs of the project will be shared, presented to the authorities in Brussels to be able to contribute to define the issues encountered at local level. By doing this, the issue will be transmitted from the </w:t>
      </w:r>
      <w:r w:rsidR="00987E01" w:rsidRPr="00987E01">
        <w:t xml:space="preserve">local to the utmost authority. </w:t>
      </w:r>
    </w:p>
    <w:p w:rsidR="003678DC" w:rsidRDefault="0091475F" w:rsidP="0091475F">
      <w:pPr>
        <w:rPr>
          <w:b/>
        </w:rPr>
      </w:pPr>
      <w:r w:rsidRPr="0091475F">
        <w:rPr>
          <w:b/>
        </w:rPr>
        <w:t xml:space="preserve">Activity 1; </w:t>
      </w:r>
      <w:r w:rsidR="00987E01" w:rsidRPr="00987E01">
        <w:t>Composing all the outputs and creating a presentation</w:t>
      </w:r>
      <w:r w:rsidR="00987E01">
        <w:rPr>
          <w:b/>
        </w:rPr>
        <w:t>.</w:t>
      </w:r>
    </w:p>
    <w:p w:rsidR="00987E01" w:rsidRPr="00987E01" w:rsidRDefault="00987E01" w:rsidP="00987E01">
      <w:pPr>
        <w:rPr>
          <w:b/>
        </w:rPr>
      </w:pPr>
      <w:r w:rsidRPr="00987E01">
        <w:rPr>
          <w:b/>
        </w:rPr>
        <w:t xml:space="preserve">Activity </w:t>
      </w:r>
      <w:r>
        <w:rPr>
          <w:b/>
        </w:rPr>
        <w:t>2</w:t>
      </w:r>
      <w:r w:rsidRPr="00987E01">
        <w:rPr>
          <w:b/>
        </w:rPr>
        <w:t xml:space="preserve">; </w:t>
      </w:r>
      <w:r>
        <w:t xml:space="preserve">Meeting in Brussels to present the outputs to the committee. </w:t>
      </w:r>
    </w:p>
    <w:p w:rsidR="00987E01" w:rsidRDefault="00987E01" w:rsidP="0091475F">
      <w:pPr>
        <w:rPr>
          <w:b/>
        </w:rPr>
      </w:pPr>
    </w:p>
    <w:p w:rsidR="00987E01" w:rsidRPr="003678DC" w:rsidRDefault="00987E01" w:rsidP="0091475F">
      <w:pPr>
        <w:rPr>
          <w:b/>
        </w:rPr>
      </w:pPr>
    </w:p>
    <w:p w:rsidR="003678DC" w:rsidRDefault="003678DC"/>
    <w:sectPr w:rsidR="00367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A17"/>
    <w:multiLevelType w:val="multilevel"/>
    <w:tmpl w:val="C81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DC"/>
    <w:rsid w:val="000C24D2"/>
    <w:rsid w:val="0023015E"/>
    <w:rsid w:val="003678DC"/>
    <w:rsid w:val="005A3133"/>
    <w:rsid w:val="006758F5"/>
    <w:rsid w:val="006957BB"/>
    <w:rsid w:val="0091475F"/>
    <w:rsid w:val="00987E01"/>
    <w:rsid w:val="00B96573"/>
    <w:rsid w:val="00BC5521"/>
    <w:rsid w:val="00C64020"/>
    <w:rsid w:val="00D93841"/>
    <w:rsid w:val="00ED4C6D"/>
    <w:rsid w:val="00F041A1"/>
    <w:rsid w:val="00F20C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D2"/>
  </w:style>
  <w:style w:type="paragraph" w:styleId="Titre1">
    <w:name w:val="heading 1"/>
    <w:basedOn w:val="Normal"/>
    <w:next w:val="Normal"/>
    <w:link w:val="Titre1Car"/>
    <w:uiPriority w:val="9"/>
    <w:qFormat/>
    <w:rsid w:val="00367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78DC"/>
    <w:rPr>
      <w:color w:val="0563C1" w:themeColor="hyperlink"/>
      <w:u w:val="single"/>
    </w:rPr>
  </w:style>
  <w:style w:type="character" w:customStyle="1" w:styleId="Titre1Car">
    <w:name w:val="Titre 1 Car"/>
    <w:basedOn w:val="Policepardfaut"/>
    <w:link w:val="Titre1"/>
    <w:uiPriority w:val="9"/>
    <w:rsid w:val="003678D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D2"/>
  </w:style>
  <w:style w:type="paragraph" w:styleId="Titre1">
    <w:name w:val="heading 1"/>
    <w:basedOn w:val="Normal"/>
    <w:next w:val="Normal"/>
    <w:link w:val="Titre1Car"/>
    <w:uiPriority w:val="9"/>
    <w:qFormat/>
    <w:rsid w:val="003678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78DC"/>
    <w:rPr>
      <w:color w:val="0563C1" w:themeColor="hyperlink"/>
      <w:u w:val="single"/>
    </w:rPr>
  </w:style>
  <w:style w:type="character" w:customStyle="1" w:styleId="Titre1Car">
    <w:name w:val="Titre 1 Car"/>
    <w:basedOn w:val="Policepardfaut"/>
    <w:link w:val="Titre1"/>
    <w:uiPriority w:val="9"/>
    <w:rsid w:val="003678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201">
      <w:bodyDiv w:val="1"/>
      <w:marLeft w:val="0"/>
      <w:marRight w:val="0"/>
      <w:marTop w:val="0"/>
      <w:marBottom w:val="0"/>
      <w:divBdr>
        <w:top w:val="none" w:sz="0" w:space="0" w:color="auto"/>
        <w:left w:val="none" w:sz="0" w:space="0" w:color="auto"/>
        <w:bottom w:val="none" w:sz="0" w:space="0" w:color="auto"/>
        <w:right w:val="none" w:sz="0" w:space="0" w:color="auto"/>
      </w:divBdr>
    </w:div>
    <w:div w:id="506866661">
      <w:bodyDiv w:val="1"/>
      <w:marLeft w:val="0"/>
      <w:marRight w:val="0"/>
      <w:marTop w:val="0"/>
      <w:marBottom w:val="0"/>
      <w:divBdr>
        <w:top w:val="none" w:sz="0" w:space="0" w:color="auto"/>
        <w:left w:val="none" w:sz="0" w:space="0" w:color="auto"/>
        <w:bottom w:val="none" w:sz="0" w:space="0" w:color="auto"/>
        <w:right w:val="none" w:sz="0" w:space="0" w:color="auto"/>
      </w:divBdr>
    </w:div>
    <w:div w:id="1521314429">
      <w:bodyDiv w:val="1"/>
      <w:marLeft w:val="0"/>
      <w:marRight w:val="0"/>
      <w:marTop w:val="0"/>
      <w:marBottom w:val="0"/>
      <w:divBdr>
        <w:top w:val="none" w:sz="0" w:space="0" w:color="auto"/>
        <w:left w:val="none" w:sz="0" w:space="0" w:color="auto"/>
        <w:bottom w:val="none" w:sz="0" w:space="0" w:color="auto"/>
        <w:right w:val="none" w:sz="0" w:space="0" w:color="auto"/>
      </w:divBdr>
      <w:divsChild>
        <w:div w:id="621957790">
          <w:marLeft w:val="0"/>
          <w:marRight w:val="0"/>
          <w:marTop w:val="0"/>
          <w:marBottom w:val="0"/>
          <w:divBdr>
            <w:top w:val="none" w:sz="0" w:space="0" w:color="auto"/>
            <w:left w:val="none" w:sz="0" w:space="0" w:color="auto"/>
            <w:bottom w:val="none" w:sz="0" w:space="0" w:color="auto"/>
            <w:right w:val="none" w:sz="0" w:space="0" w:color="auto"/>
          </w:divBdr>
          <w:divsChild>
            <w:div w:id="1517622247">
              <w:marLeft w:val="0"/>
              <w:marRight w:val="0"/>
              <w:marTop w:val="0"/>
              <w:marBottom w:val="0"/>
              <w:divBdr>
                <w:top w:val="none" w:sz="0" w:space="0" w:color="auto"/>
                <w:left w:val="none" w:sz="0" w:space="0" w:color="auto"/>
                <w:bottom w:val="none" w:sz="0" w:space="0" w:color="auto"/>
                <w:right w:val="none" w:sz="0" w:space="0" w:color="auto"/>
              </w:divBdr>
              <w:divsChild>
                <w:div w:id="1372144547">
                  <w:marLeft w:val="0"/>
                  <w:marRight w:val="0"/>
                  <w:marTop w:val="0"/>
                  <w:marBottom w:val="0"/>
                  <w:divBdr>
                    <w:top w:val="none" w:sz="0" w:space="0" w:color="auto"/>
                    <w:left w:val="none" w:sz="0" w:space="0" w:color="auto"/>
                    <w:bottom w:val="none" w:sz="0" w:space="0" w:color="auto"/>
                    <w:right w:val="none" w:sz="0" w:space="0" w:color="auto"/>
                  </w:divBdr>
                  <w:divsChild>
                    <w:div w:id="1914924876">
                      <w:marLeft w:val="0"/>
                      <w:marRight w:val="0"/>
                      <w:marTop w:val="0"/>
                      <w:marBottom w:val="0"/>
                      <w:divBdr>
                        <w:top w:val="none" w:sz="0" w:space="0" w:color="auto"/>
                        <w:left w:val="none" w:sz="0" w:space="0" w:color="auto"/>
                        <w:bottom w:val="none" w:sz="0" w:space="0" w:color="auto"/>
                        <w:right w:val="none" w:sz="0" w:space="0" w:color="auto"/>
                      </w:divBdr>
                    </w:div>
                    <w:div w:id="13696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8740">
          <w:marLeft w:val="0"/>
          <w:marRight w:val="0"/>
          <w:marTop w:val="0"/>
          <w:marBottom w:val="0"/>
          <w:divBdr>
            <w:top w:val="none" w:sz="0" w:space="0" w:color="auto"/>
            <w:left w:val="none" w:sz="0" w:space="0" w:color="auto"/>
            <w:bottom w:val="none" w:sz="0" w:space="0" w:color="auto"/>
            <w:right w:val="none" w:sz="0" w:space="0" w:color="auto"/>
          </w:divBdr>
          <w:divsChild>
            <w:div w:id="1627392403">
              <w:marLeft w:val="0"/>
              <w:marRight w:val="0"/>
              <w:marTop w:val="0"/>
              <w:marBottom w:val="0"/>
              <w:divBdr>
                <w:top w:val="none" w:sz="0" w:space="0" w:color="auto"/>
                <w:left w:val="none" w:sz="0" w:space="0" w:color="auto"/>
                <w:bottom w:val="none" w:sz="0" w:space="0" w:color="auto"/>
                <w:right w:val="none" w:sz="0" w:space="0" w:color="auto"/>
              </w:divBdr>
              <w:divsChild>
                <w:div w:id="730690464">
                  <w:marLeft w:val="0"/>
                  <w:marRight w:val="0"/>
                  <w:marTop w:val="0"/>
                  <w:marBottom w:val="0"/>
                  <w:divBdr>
                    <w:top w:val="none" w:sz="0" w:space="0" w:color="auto"/>
                    <w:left w:val="none" w:sz="0" w:space="0" w:color="auto"/>
                    <w:bottom w:val="none" w:sz="0" w:space="0" w:color="auto"/>
                    <w:right w:val="none" w:sz="0" w:space="0" w:color="auto"/>
                  </w:divBdr>
                  <w:divsChild>
                    <w:div w:id="1889102600">
                      <w:marLeft w:val="0"/>
                      <w:marRight w:val="0"/>
                      <w:marTop w:val="0"/>
                      <w:marBottom w:val="0"/>
                      <w:divBdr>
                        <w:top w:val="none" w:sz="0" w:space="0" w:color="auto"/>
                        <w:left w:val="none" w:sz="0" w:space="0" w:color="auto"/>
                        <w:bottom w:val="none" w:sz="0" w:space="0" w:color="auto"/>
                        <w:right w:val="none" w:sz="0" w:space="0" w:color="auto"/>
                      </w:divBdr>
                      <w:divsChild>
                        <w:div w:id="653601861">
                          <w:marLeft w:val="0"/>
                          <w:marRight w:val="0"/>
                          <w:marTop w:val="0"/>
                          <w:marBottom w:val="0"/>
                          <w:divBdr>
                            <w:top w:val="none" w:sz="0" w:space="0" w:color="auto"/>
                            <w:left w:val="none" w:sz="0" w:space="0" w:color="auto"/>
                            <w:bottom w:val="none" w:sz="0" w:space="0" w:color="auto"/>
                            <w:right w:val="none" w:sz="0" w:space="0" w:color="auto"/>
                          </w:divBdr>
                          <w:divsChild>
                            <w:div w:id="2689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4881</Characters>
  <Application>Microsoft Office Word</Application>
  <DocSecurity>0</DocSecurity>
  <Lines>40</Lines>
  <Paragraphs>11</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Utilisateur Windows</cp:lastModifiedBy>
  <cp:revision>2</cp:revision>
  <dcterms:created xsi:type="dcterms:W3CDTF">2022-06-13T07:25:00Z</dcterms:created>
  <dcterms:modified xsi:type="dcterms:W3CDTF">2022-06-13T07:25:00Z</dcterms:modified>
</cp:coreProperties>
</file>